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48234A3">
      <w:pPr>
        <w:pageBreakBefore w:val="0"/>
        <w:kinsoku/>
        <w:wordWrap/>
        <w:overflowPunct/>
        <w:topLinePunct w:val="0"/>
        <w:autoSpaceDE/>
        <w:bidi w:val="0"/>
        <w:snapToGrid w:val="0"/>
        <w:spacing w:line="560" w:lineRule="exact"/>
        <w:jc w:val="center"/>
        <w:textAlignment w:val="auto"/>
        <w:rPr>
          <w:rFonts w:hint="eastAsia" w:ascii="方正小标宋_GBK" w:hAnsi="方正小标宋_GBK" w:eastAsia="方正小标宋_GBK" w:cs="方正小标宋_GBK"/>
          <w:color w:val="auto"/>
          <w:spacing w:val="11"/>
          <w:kern w:val="2"/>
          <w:sz w:val="44"/>
          <w:highlight w:val="none"/>
          <w:u w:val="none"/>
          <w:lang w:val="en-US" w:eastAsia="zh-CN" w:bidi="ar-SA"/>
        </w:rPr>
      </w:pPr>
    </w:p>
    <w:p w14:paraId="1B96F067">
      <w:pPr>
        <w:pageBreakBefore w:val="0"/>
        <w:kinsoku/>
        <w:wordWrap/>
        <w:overflowPunct/>
        <w:topLinePunct w:val="0"/>
        <w:autoSpaceDE/>
        <w:bidi w:val="0"/>
        <w:snapToGrid w:val="0"/>
        <w:spacing w:line="560" w:lineRule="exact"/>
        <w:jc w:val="both"/>
        <w:textAlignment w:val="auto"/>
        <w:rPr>
          <w:rFonts w:hint="eastAsia" w:ascii="方正小标宋_GBK" w:hAnsi="方正小标宋_GBK" w:eastAsia="方正小标宋_GBK" w:cs="方正小标宋_GBK"/>
          <w:color w:val="auto"/>
          <w:spacing w:val="11"/>
          <w:kern w:val="2"/>
          <w:sz w:val="44"/>
          <w:highlight w:val="none"/>
          <w:u w:val="none"/>
          <w:lang w:val="en-US" w:eastAsia="zh-CN" w:bidi="ar-SA"/>
        </w:rPr>
      </w:pPr>
    </w:p>
    <w:p w14:paraId="2077F17D">
      <w:pPr>
        <w:pageBreakBefore w:val="0"/>
        <w:kinsoku/>
        <w:wordWrap/>
        <w:overflowPunct/>
        <w:topLinePunct w:val="0"/>
        <w:autoSpaceDE/>
        <w:bidi w:val="0"/>
        <w:snapToGrid w:val="0"/>
        <w:spacing w:line="560" w:lineRule="exact"/>
        <w:jc w:val="center"/>
        <w:textAlignment w:val="auto"/>
        <w:rPr>
          <w:rFonts w:hint="eastAsia" w:ascii="方正小标宋_GBK" w:hAnsi="方正小标宋_GBK" w:eastAsia="方正小标宋_GBK" w:cs="方正小标宋_GBK"/>
          <w:color w:val="auto"/>
          <w:spacing w:val="11"/>
          <w:kern w:val="2"/>
          <w:sz w:val="44"/>
          <w:highlight w:val="none"/>
          <w:u w:val="none"/>
          <w:lang w:val="en-US" w:eastAsia="zh-CN" w:bidi="ar-SA"/>
        </w:rPr>
      </w:pPr>
    </w:p>
    <w:p w14:paraId="0926944E">
      <w:pPr>
        <w:pageBreakBefore w:val="0"/>
        <w:kinsoku/>
        <w:wordWrap/>
        <w:overflowPunct/>
        <w:topLinePunct w:val="0"/>
        <w:autoSpaceDE/>
        <w:bidi w:val="0"/>
        <w:snapToGrid w:val="0"/>
        <w:spacing w:line="560" w:lineRule="exact"/>
        <w:jc w:val="center"/>
        <w:textAlignment w:val="auto"/>
        <w:rPr>
          <w:rFonts w:hint="eastAsia" w:ascii="方正小标宋_GBK" w:hAnsi="方正小标宋_GBK" w:eastAsia="方正小标宋_GBK" w:cs="方正小标宋_GBK"/>
          <w:color w:val="auto"/>
          <w:spacing w:val="11"/>
          <w:kern w:val="2"/>
          <w:sz w:val="44"/>
          <w:highlight w:val="none"/>
          <w:u w:val="none"/>
          <w:lang w:val="en-US" w:eastAsia="zh-CN" w:bidi="ar-SA"/>
        </w:rPr>
      </w:pPr>
      <w:r>
        <w:rPr>
          <w:rFonts w:hint="eastAsia" w:ascii="方正小标宋_GBK" w:hAnsi="方正小标宋_GBK" w:eastAsia="方正小标宋_GBK" w:cs="方正小标宋_GBK"/>
          <w:color w:val="auto"/>
          <w:spacing w:val="11"/>
          <w:kern w:val="2"/>
          <w:sz w:val="44"/>
          <w:highlight w:val="none"/>
          <w:u w:val="none"/>
          <w:lang w:val="en-US" w:eastAsia="zh-CN" w:bidi="ar-SA"/>
        </w:rPr>
        <w:t>扶沟县国民经济和社会发展第十五个</w:t>
      </w:r>
    </w:p>
    <w:p w14:paraId="76850CDE">
      <w:pPr>
        <w:pageBreakBefore w:val="0"/>
        <w:kinsoku/>
        <w:wordWrap/>
        <w:overflowPunct/>
        <w:topLinePunct w:val="0"/>
        <w:autoSpaceDE/>
        <w:bidi w:val="0"/>
        <w:snapToGrid w:val="0"/>
        <w:spacing w:line="560" w:lineRule="exact"/>
        <w:jc w:val="center"/>
        <w:textAlignment w:val="auto"/>
        <w:rPr>
          <w:rFonts w:hint="default" w:ascii="方正小标宋_GBK" w:hAnsi="方正小标宋_GBK" w:eastAsia="方正小标宋_GBK" w:cs="方正小标宋_GBK"/>
          <w:color w:val="auto"/>
          <w:spacing w:val="11"/>
          <w:kern w:val="2"/>
          <w:sz w:val="44"/>
          <w:highlight w:val="none"/>
          <w:u w:val="none"/>
          <w:lang w:val="en-US" w:eastAsia="zh-CN" w:bidi="ar-SA"/>
        </w:rPr>
      </w:pPr>
      <w:r>
        <w:rPr>
          <w:rFonts w:hint="eastAsia" w:ascii="方正小标宋_GBK" w:hAnsi="方正小标宋_GBK" w:eastAsia="方正小标宋_GBK" w:cs="方正小标宋_GBK"/>
          <w:color w:val="auto"/>
          <w:spacing w:val="11"/>
          <w:kern w:val="2"/>
          <w:sz w:val="44"/>
          <w:highlight w:val="none"/>
          <w:u w:val="none"/>
          <w:lang w:val="en-US" w:eastAsia="zh-CN" w:bidi="ar-SA"/>
        </w:rPr>
        <w:t>五年规划纲要草案</w:t>
      </w:r>
      <w:bookmarkStart w:id="294" w:name="_GoBack"/>
      <w:bookmarkEnd w:id="294"/>
    </w:p>
    <w:p w14:paraId="2ECDA2D4">
      <w:pPr>
        <w:pageBreakBefore w:val="0"/>
        <w:kinsoku/>
        <w:wordWrap/>
        <w:overflowPunct/>
        <w:topLinePunct w:val="0"/>
        <w:autoSpaceDE/>
        <w:bidi w:val="0"/>
        <w:snapToGrid w:val="0"/>
        <w:spacing w:line="560" w:lineRule="exact"/>
        <w:jc w:val="center"/>
        <w:textAlignment w:val="auto"/>
        <w:rPr>
          <w:rFonts w:hint="eastAsia" w:ascii="方正小标宋_GBK" w:hAnsi="方正小标宋_GBK" w:eastAsia="方正小标宋_GBK" w:cs="方正小标宋_GBK"/>
          <w:color w:val="auto"/>
          <w:spacing w:val="11"/>
          <w:kern w:val="2"/>
          <w:sz w:val="28"/>
          <w:szCs w:val="16"/>
          <w:highlight w:val="none"/>
          <w:u w:val="none"/>
          <w:lang w:val="en-US" w:eastAsia="zh-CN" w:bidi="ar-SA"/>
        </w:rPr>
      </w:pPr>
      <w:r>
        <w:rPr>
          <w:rFonts w:hint="eastAsia" w:ascii="方正小标宋_GBK" w:hAnsi="方正小标宋_GBK" w:eastAsia="方正小标宋_GBK" w:cs="方正小标宋_GBK"/>
          <w:color w:val="auto"/>
          <w:spacing w:val="11"/>
          <w:kern w:val="2"/>
          <w:sz w:val="28"/>
          <w:szCs w:val="16"/>
          <w:highlight w:val="none"/>
          <w:u w:val="none"/>
          <w:lang w:val="en-US" w:eastAsia="zh-CN" w:bidi="ar-SA"/>
        </w:rPr>
        <w:t>（征求意见稿）</w:t>
      </w:r>
    </w:p>
    <w:p w14:paraId="45D80E0C">
      <w:pPr>
        <w:keepNext w:val="0"/>
        <w:keepLines w:val="0"/>
        <w:pageBreakBefore w:val="0"/>
        <w:widowControl w:val="0"/>
        <w:kinsoku/>
        <w:wordWrap/>
        <w:overflowPunct/>
        <w:topLinePunct w:val="0"/>
        <w:autoSpaceDE/>
        <w:autoSpaceDN/>
        <w:bidi w:val="0"/>
        <w:adjustRightInd/>
        <w:snapToGrid/>
        <w:textAlignment w:val="auto"/>
        <w:outlineLvl w:val="9"/>
        <w:rPr>
          <w:rFonts w:hint="eastAsia"/>
          <w:lang w:val="en-US" w:eastAsia="zh-CN"/>
        </w:rPr>
      </w:pPr>
    </w:p>
    <w:p w14:paraId="7B5B3269">
      <w:pPr>
        <w:keepNext w:val="0"/>
        <w:keepLines w:val="0"/>
        <w:pageBreakBefore w:val="0"/>
        <w:widowControl w:val="0"/>
        <w:kinsoku/>
        <w:wordWrap/>
        <w:overflowPunct/>
        <w:topLinePunct w:val="0"/>
        <w:autoSpaceDE/>
        <w:autoSpaceDN/>
        <w:bidi w:val="0"/>
        <w:adjustRightInd/>
        <w:snapToGrid/>
        <w:textAlignment w:val="auto"/>
        <w:outlineLvl w:val="9"/>
        <w:rPr>
          <w:rFonts w:hint="eastAsia"/>
          <w:lang w:val="en-US" w:eastAsia="zh-CN"/>
        </w:rPr>
      </w:pPr>
    </w:p>
    <w:p w14:paraId="2492ABD1">
      <w:pPr>
        <w:keepNext w:val="0"/>
        <w:keepLines w:val="0"/>
        <w:pageBreakBefore w:val="0"/>
        <w:widowControl w:val="0"/>
        <w:kinsoku/>
        <w:wordWrap/>
        <w:overflowPunct/>
        <w:topLinePunct w:val="0"/>
        <w:autoSpaceDE/>
        <w:autoSpaceDN/>
        <w:bidi w:val="0"/>
        <w:adjustRightInd/>
        <w:snapToGrid/>
        <w:textAlignment w:val="auto"/>
        <w:outlineLvl w:val="9"/>
        <w:rPr>
          <w:rFonts w:hint="eastAsia"/>
          <w:lang w:val="en-US" w:eastAsia="zh-CN"/>
        </w:rPr>
      </w:pPr>
    </w:p>
    <w:p w14:paraId="59AB7E34">
      <w:pPr>
        <w:keepNext w:val="0"/>
        <w:keepLines w:val="0"/>
        <w:pageBreakBefore w:val="0"/>
        <w:widowControl w:val="0"/>
        <w:kinsoku/>
        <w:wordWrap/>
        <w:overflowPunct/>
        <w:topLinePunct w:val="0"/>
        <w:autoSpaceDE/>
        <w:autoSpaceDN/>
        <w:bidi w:val="0"/>
        <w:adjustRightInd/>
        <w:snapToGrid/>
        <w:textAlignment w:val="auto"/>
        <w:outlineLvl w:val="9"/>
        <w:rPr>
          <w:rFonts w:hint="eastAsia"/>
          <w:lang w:val="en-US" w:eastAsia="zh-CN"/>
        </w:rPr>
      </w:pPr>
    </w:p>
    <w:p w14:paraId="71E200A2">
      <w:pPr>
        <w:keepNext w:val="0"/>
        <w:keepLines w:val="0"/>
        <w:pageBreakBefore w:val="0"/>
        <w:widowControl w:val="0"/>
        <w:kinsoku/>
        <w:wordWrap/>
        <w:overflowPunct/>
        <w:topLinePunct w:val="0"/>
        <w:autoSpaceDE/>
        <w:autoSpaceDN/>
        <w:bidi w:val="0"/>
        <w:adjustRightInd/>
        <w:snapToGrid/>
        <w:textAlignment w:val="auto"/>
        <w:outlineLvl w:val="9"/>
        <w:rPr>
          <w:rFonts w:hint="eastAsia"/>
          <w:lang w:val="en-US" w:eastAsia="zh-CN"/>
        </w:rPr>
      </w:pPr>
    </w:p>
    <w:p w14:paraId="35ED09C2">
      <w:pPr>
        <w:keepNext w:val="0"/>
        <w:keepLines w:val="0"/>
        <w:pageBreakBefore w:val="0"/>
        <w:widowControl w:val="0"/>
        <w:kinsoku/>
        <w:wordWrap/>
        <w:overflowPunct/>
        <w:topLinePunct w:val="0"/>
        <w:autoSpaceDE/>
        <w:autoSpaceDN/>
        <w:bidi w:val="0"/>
        <w:adjustRightInd/>
        <w:snapToGrid/>
        <w:textAlignment w:val="auto"/>
        <w:outlineLvl w:val="9"/>
        <w:rPr>
          <w:rFonts w:hint="eastAsia"/>
          <w:lang w:val="en-US" w:eastAsia="zh-CN"/>
        </w:rPr>
      </w:pPr>
    </w:p>
    <w:p w14:paraId="26B8C3FF">
      <w:pPr>
        <w:keepNext w:val="0"/>
        <w:keepLines w:val="0"/>
        <w:pageBreakBefore w:val="0"/>
        <w:widowControl w:val="0"/>
        <w:kinsoku/>
        <w:wordWrap/>
        <w:overflowPunct/>
        <w:topLinePunct w:val="0"/>
        <w:autoSpaceDE/>
        <w:autoSpaceDN/>
        <w:bidi w:val="0"/>
        <w:adjustRightInd/>
        <w:snapToGrid/>
        <w:textAlignment w:val="auto"/>
        <w:outlineLvl w:val="9"/>
        <w:rPr>
          <w:rFonts w:hint="eastAsia"/>
          <w:lang w:val="en-US" w:eastAsia="zh-CN"/>
        </w:rPr>
      </w:pPr>
    </w:p>
    <w:p w14:paraId="0FC12428">
      <w:pPr>
        <w:keepNext w:val="0"/>
        <w:keepLines w:val="0"/>
        <w:pageBreakBefore w:val="0"/>
        <w:widowControl w:val="0"/>
        <w:kinsoku/>
        <w:wordWrap/>
        <w:overflowPunct/>
        <w:topLinePunct w:val="0"/>
        <w:autoSpaceDE/>
        <w:autoSpaceDN/>
        <w:bidi w:val="0"/>
        <w:adjustRightInd/>
        <w:snapToGrid/>
        <w:textAlignment w:val="auto"/>
        <w:outlineLvl w:val="9"/>
        <w:rPr>
          <w:rFonts w:hint="eastAsia"/>
          <w:lang w:val="en-US" w:eastAsia="zh-CN"/>
        </w:rPr>
      </w:pPr>
    </w:p>
    <w:p w14:paraId="39065AEA">
      <w:pPr>
        <w:keepNext w:val="0"/>
        <w:keepLines w:val="0"/>
        <w:pageBreakBefore w:val="0"/>
        <w:widowControl w:val="0"/>
        <w:kinsoku/>
        <w:wordWrap/>
        <w:overflowPunct/>
        <w:topLinePunct w:val="0"/>
        <w:autoSpaceDE/>
        <w:autoSpaceDN/>
        <w:bidi w:val="0"/>
        <w:adjustRightInd/>
        <w:snapToGrid/>
        <w:textAlignment w:val="auto"/>
        <w:outlineLvl w:val="9"/>
        <w:rPr>
          <w:rFonts w:hint="eastAsia"/>
          <w:lang w:val="en-US" w:eastAsia="zh-CN"/>
        </w:rPr>
      </w:pPr>
    </w:p>
    <w:p w14:paraId="2FD83F78">
      <w:pPr>
        <w:keepNext w:val="0"/>
        <w:keepLines w:val="0"/>
        <w:pageBreakBefore w:val="0"/>
        <w:widowControl w:val="0"/>
        <w:kinsoku/>
        <w:wordWrap/>
        <w:overflowPunct/>
        <w:topLinePunct w:val="0"/>
        <w:autoSpaceDE/>
        <w:autoSpaceDN/>
        <w:bidi w:val="0"/>
        <w:adjustRightInd/>
        <w:snapToGrid/>
        <w:textAlignment w:val="auto"/>
        <w:outlineLvl w:val="9"/>
        <w:rPr>
          <w:rFonts w:hint="eastAsia"/>
          <w:lang w:val="en-US" w:eastAsia="zh-CN"/>
        </w:rPr>
      </w:pPr>
    </w:p>
    <w:p w14:paraId="60B17882">
      <w:pPr>
        <w:keepNext w:val="0"/>
        <w:keepLines w:val="0"/>
        <w:pageBreakBefore w:val="0"/>
        <w:widowControl w:val="0"/>
        <w:kinsoku/>
        <w:wordWrap/>
        <w:overflowPunct/>
        <w:topLinePunct w:val="0"/>
        <w:autoSpaceDE/>
        <w:autoSpaceDN/>
        <w:bidi w:val="0"/>
        <w:adjustRightInd/>
        <w:snapToGrid/>
        <w:textAlignment w:val="auto"/>
        <w:outlineLvl w:val="9"/>
        <w:rPr>
          <w:rFonts w:hint="eastAsia"/>
          <w:lang w:val="en-US" w:eastAsia="zh-CN"/>
        </w:rPr>
      </w:pPr>
    </w:p>
    <w:p w14:paraId="7D0EF87F">
      <w:pPr>
        <w:keepNext w:val="0"/>
        <w:keepLines w:val="0"/>
        <w:pageBreakBefore w:val="0"/>
        <w:widowControl w:val="0"/>
        <w:kinsoku/>
        <w:wordWrap/>
        <w:overflowPunct/>
        <w:topLinePunct w:val="0"/>
        <w:autoSpaceDE/>
        <w:autoSpaceDN/>
        <w:bidi w:val="0"/>
        <w:adjustRightInd/>
        <w:snapToGrid/>
        <w:textAlignment w:val="auto"/>
        <w:outlineLvl w:val="9"/>
        <w:rPr>
          <w:rFonts w:hint="eastAsia"/>
          <w:lang w:val="en-US" w:eastAsia="zh-CN"/>
        </w:rPr>
      </w:pPr>
    </w:p>
    <w:p w14:paraId="29E144C4">
      <w:pPr>
        <w:rPr>
          <w:rFonts w:hint="eastAsia"/>
          <w:lang w:val="en-US" w:eastAsia="zh-CN"/>
        </w:rPr>
      </w:pPr>
    </w:p>
    <w:p w14:paraId="1D936B9E">
      <w:pPr>
        <w:pageBreakBefore w:val="0"/>
        <w:kinsoku/>
        <w:wordWrap/>
        <w:overflowPunct/>
        <w:topLinePunct w:val="0"/>
        <w:autoSpaceDE/>
        <w:bidi w:val="0"/>
        <w:adjustRightInd w:val="0"/>
        <w:snapToGrid w:val="0"/>
        <w:spacing w:line="560" w:lineRule="exact"/>
        <w:ind w:firstLine="640" w:firstLineChars="200"/>
        <w:textAlignment w:val="auto"/>
        <w:rPr>
          <w:rFonts w:hint="eastAsia" w:ascii="仿宋_GB2312" w:hAnsi="仿宋_GB2312" w:eastAsia="仿宋_GB2312" w:cs="仿宋_GB2312"/>
          <w:color w:val="auto"/>
          <w:kern w:val="2"/>
          <w:sz w:val="32"/>
          <w:szCs w:val="21"/>
          <w:u w:val="none"/>
          <w:lang w:val="en-US" w:eastAsia="zh-CN" w:bidi="ar-SA"/>
        </w:rPr>
      </w:pPr>
    </w:p>
    <w:p w14:paraId="230DD6E3">
      <w:pPr>
        <w:pageBreakBefore w:val="0"/>
        <w:kinsoku/>
        <w:wordWrap/>
        <w:overflowPunct/>
        <w:topLinePunct w:val="0"/>
        <w:autoSpaceDE/>
        <w:bidi w:val="0"/>
        <w:adjustRightInd w:val="0"/>
        <w:snapToGrid w:val="0"/>
        <w:spacing w:line="560" w:lineRule="exact"/>
        <w:ind w:firstLine="640" w:firstLineChars="200"/>
        <w:textAlignment w:val="auto"/>
        <w:rPr>
          <w:rFonts w:hint="eastAsia" w:ascii="仿宋_GB2312" w:hAnsi="仿宋_GB2312" w:eastAsia="仿宋_GB2312" w:cs="仿宋_GB2312"/>
          <w:color w:val="auto"/>
          <w:kern w:val="2"/>
          <w:sz w:val="32"/>
          <w:szCs w:val="21"/>
          <w:u w:val="none"/>
          <w:lang w:val="en-US" w:eastAsia="zh-CN" w:bidi="ar-SA"/>
        </w:rPr>
      </w:pPr>
    </w:p>
    <w:p w14:paraId="1060ED00">
      <w:pPr>
        <w:pageBreakBefore w:val="0"/>
        <w:kinsoku/>
        <w:wordWrap/>
        <w:overflowPunct/>
        <w:topLinePunct w:val="0"/>
        <w:autoSpaceDE/>
        <w:bidi w:val="0"/>
        <w:adjustRightInd w:val="0"/>
        <w:snapToGrid w:val="0"/>
        <w:spacing w:line="560" w:lineRule="exact"/>
        <w:ind w:firstLine="640" w:firstLineChars="200"/>
        <w:textAlignment w:val="auto"/>
        <w:rPr>
          <w:rFonts w:hint="default" w:ascii="仿宋_GB2312" w:hAnsi="仿宋_GB2312" w:eastAsia="仿宋_GB2312" w:cs="仿宋_GB2312"/>
          <w:color w:val="auto"/>
          <w:kern w:val="2"/>
          <w:sz w:val="32"/>
          <w:szCs w:val="21"/>
          <w:u w:val="none"/>
          <w:lang w:val="en-US" w:eastAsia="zh-CN" w:bidi="ar-SA"/>
        </w:rPr>
      </w:pPr>
    </w:p>
    <w:p w14:paraId="02EADF97">
      <w:pPr>
        <w:keepNext w:val="0"/>
        <w:keepLines w:val="0"/>
        <w:pageBreakBefore w:val="0"/>
        <w:widowControl w:val="0"/>
        <w:kinsoku/>
        <w:wordWrap/>
        <w:overflowPunct/>
        <w:topLinePunct w:val="0"/>
        <w:autoSpaceDE/>
        <w:autoSpaceDN/>
        <w:bidi w:val="0"/>
        <w:adjustRightInd/>
        <w:snapToGrid/>
        <w:textAlignment w:val="auto"/>
        <w:outlineLvl w:val="9"/>
        <w:rPr>
          <w:rFonts w:hint="eastAsia" w:ascii="仿宋_GB2312" w:hAnsi="仿宋_GB2312" w:eastAsia="仿宋_GB2312" w:cs="仿宋_GB2312"/>
          <w:color w:val="auto"/>
          <w:kern w:val="2"/>
          <w:sz w:val="32"/>
          <w:szCs w:val="21"/>
          <w:u w:val="none"/>
          <w:lang w:val="en-US" w:eastAsia="zh-CN" w:bidi="ar-SA"/>
        </w:rPr>
      </w:pPr>
    </w:p>
    <w:p w14:paraId="4BD4541D">
      <w:pPr>
        <w:rPr>
          <w:rFonts w:hint="eastAsia" w:ascii="仿宋_GB2312" w:hAnsi="仿宋_GB2312" w:eastAsia="仿宋_GB2312" w:cs="仿宋_GB2312"/>
          <w:color w:val="auto"/>
          <w:kern w:val="2"/>
          <w:sz w:val="32"/>
          <w:szCs w:val="21"/>
          <w:u w:val="none"/>
          <w:lang w:val="en-US" w:eastAsia="zh-CN" w:bidi="ar-SA"/>
        </w:rPr>
      </w:pPr>
    </w:p>
    <w:p w14:paraId="49AEBAEE">
      <w:pPr>
        <w:keepNext w:val="0"/>
        <w:keepLines w:val="0"/>
        <w:pageBreakBefore w:val="0"/>
        <w:widowControl w:val="0"/>
        <w:kinsoku/>
        <w:wordWrap/>
        <w:overflowPunct/>
        <w:topLinePunct w:val="0"/>
        <w:autoSpaceDE/>
        <w:autoSpaceDN/>
        <w:bidi w:val="0"/>
        <w:adjustRightInd/>
        <w:snapToGrid/>
        <w:textAlignment w:val="auto"/>
        <w:outlineLvl w:val="9"/>
        <w:rPr>
          <w:rFonts w:hint="eastAsia"/>
          <w:lang w:val="en-US" w:eastAsia="zh-CN"/>
        </w:rPr>
      </w:pPr>
    </w:p>
    <w:p w14:paraId="40F3DE2D">
      <w:pPr>
        <w:pageBreakBefore w:val="0"/>
        <w:kinsoku/>
        <w:wordWrap/>
        <w:overflowPunct/>
        <w:topLinePunct w:val="0"/>
        <w:autoSpaceDE/>
        <w:bidi w:val="0"/>
        <w:adjustRightInd w:val="0"/>
        <w:snapToGrid w:val="0"/>
        <w:spacing w:line="560" w:lineRule="exact"/>
        <w:ind w:firstLine="640" w:firstLineChars="200"/>
        <w:textAlignment w:val="auto"/>
        <w:rPr>
          <w:rFonts w:hint="eastAsia" w:ascii="仿宋_GB2312" w:hAnsi="仿宋_GB2312" w:eastAsia="仿宋_GB2312" w:cs="仿宋_GB2312"/>
          <w:color w:val="auto"/>
          <w:kern w:val="2"/>
          <w:sz w:val="32"/>
          <w:szCs w:val="21"/>
          <w:u w:val="none"/>
          <w:lang w:val="en-US" w:eastAsia="zh-CN" w:bidi="ar-SA"/>
        </w:rPr>
      </w:pPr>
    </w:p>
    <w:p w14:paraId="7A38CE62">
      <w:pPr>
        <w:rPr>
          <w:rFonts w:hint="eastAsia"/>
          <w:lang w:val="en-US" w:eastAsia="zh-CN"/>
        </w:rPr>
      </w:pPr>
    </w:p>
    <w:p w14:paraId="694DA252">
      <w:pPr>
        <w:keepNext w:val="0"/>
        <w:keepLines w:val="0"/>
        <w:pageBreakBefore w:val="0"/>
        <w:widowControl w:val="0"/>
        <w:kinsoku/>
        <w:wordWrap/>
        <w:overflowPunct/>
        <w:topLinePunct w:val="0"/>
        <w:autoSpaceDE/>
        <w:autoSpaceDN/>
        <w:bidi w:val="0"/>
        <w:adjustRightInd/>
        <w:snapToGrid/>
        <w:textAlignment w:val="auto"/>
        <w:outlineLvl w:val="9"/>
        <w:rPr>
          <w:rFonts w:hint="eastAsia"/>
          <w:lang w:val="en-US" w:eastAsia="zh-CN"/>
        </w:rPr>
      </w:pPr>
    </w:p>
    <w:p w14:paraId="0D9DEB56">
      <w:pPr>
        <w:rPr>
          <w:rFonts w:hint="eastAsia"/>
          <w:lang w:val="en-US" w:eastAsia="zh-CN"/>
        </w:rPr>
      </w:pPr>
    </w:p>
    <w:p w14:paraId="65E8DDBB">
      <w:pPr>
        <w:keepNext w:val="0"/>
        <w:keepLines w:val="0"/>
        <w:pageBreakBefore w:val="0"/>
        <w:widowControl w:val="0"/>
        <w:kinsoku/>
        <w:wordWrap/>
        <w:overflowPunct/>
        <w:topLinePunct w:val="0"/>
        <w:autoSpaceDE/>
        <w:autoSpaceDN/>
        <w:bidi w:val="0"/>
        <w:adjustRightInd/>
        <w:snapToGrid/>
        <w:textAlignment w:val="auto"/>
        <w:outlineLvl w:val="9"/>
        <w:rPr>
          <w:rFonts w:hint="eastAsia"/>
          <w:lang w:val="en-US" w:eastAsia="zh-CN"/>
        </w:rPr>
      </w:pPr>
    </w:p>
    <w:p w14:paraId="2118CD82">
      <w:pPr>
        <w:keepNext w:val="0"/>
        <w:keepLines w:val="0"/>
        <w:pageBreakBefore w:val="0"/>
        <w:widowControl w:val="0"/>
        <w:kinsoku/>
        <w:wordWrap/>
        <w:overflowPunct/>
        <w:topLinePunct w:val="0"/>
        <w:autoSpaceDE/>
        <w:autoSpaceDN/>
        <w:bidi w:val="0"/>
        <w:adjustRightInd/>
        <w:snapToGrid/>
        <w:textAlignment w:val="auto"/>
        <w:outlineLvl w:val="9"/>
        <w:rPr>
          <w:rFonts w:hint="eastAsia"/>
          <w:lang w:val="en-US" w:eastAsia="zh-CN"/>
        </w:rPr>
      </w:pPr>
    </w:p>
    <w:p w14:paraId="33E4ECC8">
      <w:pPr>
        <w:keepNext w:val="0"/>
        <w:keepLines w:val="0"/>
        <w:pageBreakBefore w:val="0"/>
        <w:widowControl w:val="0"/>
        <w:kinsoku/>
        <w:wordWrap/>
        <w:overflowPunct/>
        <w:topLinePunct w:val="0"/>
        <w:autoSpaceDE/>
        <w:autoSpaceDN/>
        <w:bidi w:val="0"/>
        <w:adjustRightInd/>
        <w:snapToGrid/>
        <w:textAlignment w:val="auto"/>
        <w:outlineLvl w:val="9"/>
        <w:rPr>
          <w:rFonts w:hint="eastAsia"/>
          <w:lang w:val="en-US" w:eastAsia="zh-CN"/>
        </w:rPr>
      </w:pPr>
    </w:p>
    <w:p w14:paraId="0BD769E4">
      <w:pPr>
        <w:keepNext w:val="0"/>
        <w:keepLines w:val="0"/>
        <w:pageBreakBefore w:val="0"/>
        <w:widowControl w:val="0"/>
        <w:kinsoku/>
        <w:wordWrap/>
        <w:overflowPunct/>
        <w:topLinePunct w:val="0"/>
        <w:autoSpaceDE/>
        <w:autoSpaceDN/>
        <w:bidi w:val="0"/>
        <w:adjustRightInd/>
        <w:snapToGrid/>
        <w:textAlignment w:val="auto"/>
        <w:outlineLvl w:val="9"/>
        <w:rPr>
          <w:rFonts w:hint="eastAsia"/>
          <w:lang w:val="en-US" w:eastAsia="zh-CN"/>
        </w:rPr>
      </w:pPr>
    </w:p>
    <w:p w14:paraId="6D7BA43E">
      <w:pPr>
        <w:keepNext w:val="0"/>
        <w:keepLines w:val="0"/>
        <w:pageBreakBefore w:val="0"/>
        <w:widowControl w:val="0"/>
        <w:kinsoku/>
        <w:wordWrap/>
        <w:overflowPunct/>
        <w:topLinePunct w:val="0"/>
        <w:autoSpaceDE/>
        <w:autoSpaceDN/>
        <w:bidi w:val="0"/>
        <w:adjustRightInd/>
        <w:snapToGrid/>
        <w:textAlignment w:val="auto"/>
        <w:outlineLvl w:val="9"/>
        <w:rPr>
          <w:rFonts w:hint="eastAsia"/>
          <w:lang w:val="en-US" w:eastAsia="zh-CN"/>
        </w:rPr>
      </w:pPr>
    </w:p>
    <w:p w14:paraId="20A46A6C">
      <w:pPr>
        <w:keepNext w:val="0"/>
        <w:keepLines w:val="0"/>
        <w:pageBreakBefore w:val="0"/>
        <w:widowControl w:val="0"/>
        <w:kinsoku/>
        <w:wordWrap/>
        <w:overflowPunct/>
        <w:topLinePunct w:val="0"/>
        <w:autoSpaceDE/>
        <w:autoSpaceDN/>
        <w:bidi w:val="0"/>
        <w:adjustRightInd/>
        <w:textAlignment w:val="auto"/>
        <w:outlineLvl w:val="9"/>
        <w:rPr>
          <w:rFonts w:hint="eastAsia"/>
          <w:lang w:val="en-US" w:eastAsia="zh-CN"/>
        </w:rPr>
      </w:pPr>
    </w:p>
    <w:p w14:paraId="5EA63BA1">
      <w:pPr>
        <w:keepNext w:val="0"/>
        <w:keepLines w:val="0"/>
        <w:pageBreakBefore w:val="0"/>
        <w:widowControl w:val="0"/>
        <w:kinsoku/>
        <w:wordWrap/>
        <w:overflowPunct/>
        <w:topLinePunct w:val="0"/>
        <w:autoSpaceDE/>
        <w:autoSpaceDN/>
        <w:bidi w:val="0"/>
        <w:adjustRightInd/>
        <w:snapToGrid w:val="0"/>
        <w:spacing w:line="560" w:lineRule="exact"/>
        <w:jc w:val="center"/>
        <w:textAlignment w:val="auto"/>
        <w:outlineLvl w:val="9"/>
        <w:rPr>
          <w:rFonts w:hint="eastAsia" w:ascii="楷体_GB2312" w:hAnsi="楷体_GB2312" w:eastAsia="楷体_GB2312" w:cs="楷体_GB2312"/>
          <w:color w:val="auto"/>
          <w:spacing w:val="-20"/>
          <w:sz w:val="32"/>
          <w:szCs w:val="32"/>
          <w:highlight w:val="none"/>
          <w:u w:val="none"/>
          <w:lang w:val="en-US" w:eastAsia="zh-CN"/>
        </w:rPr>
      </w:pPr>
      <w:r>
        <w:rPr>
          <w:rFonts w:hint="eastAsia" w:ascii="楷体_GB2312" w:hAnsi="楷体_GB2312" w:eastAsia="楷体_GB2312" w:cs="楷体_GB2312"/>
          <w:color w:val="auto"/>
          <w:spacing w:val="-20"/>
          <w:sz w:val="32"/>
          <w:szCs w:val="32"/>
          <w:highlight w:val="none"/>
          <w:u w:val="none"/>
          <w:lang w:val="en-US" w:eastAsia="zh-CN"/>
        </w:rPr>
        <w:t>扶沟县人民政府</w:t>
      </w:r>
    </w:p>
    <w:p w14:paraId="52DE2082">
      <w:pPr>
        <w:keepNext w:val="0"/>
        <w:keepLines w:val="0"/>
        <w:pageBreakBefore w:val="0"/>
        <w:widowControl w:val="0"/>
        <w:kinsoku/>
        <w:wordWrap/>
        <w:overflowPunct/>
        <w:topLinePunct w:val="0"/>
        <w:autoSpaceDE/>
        <w:autoSpaceDN/>
        <w:bidi w:val="0"/>
        <w:adjustRightInd/>
        <w:jc w:val="center"/>
        <w:textAlignment w:val="auto"/>
        <w:outlineLvl w:val="9"/>
        <w:rPr>
          <w:rFonts w:hint="eastAsia" w:ascii="楷体_GB2312" w:hAnsi="楷体_GB2312" w:eastAsia="楷体_GB2312" w:cs="楷体_GB2312"/>
          <w:b w:val="0"/>
          <w:bCs w:val="0"/>
          <w:color w:val="auto"/>
          <w:spacing w:val="-20"/>
          <w:sz w:val="32"/>
          <w:szCs w:val="32"/>
          <w:highlight w:val="none"/>
          <w:u w:val="none"/>
        </w:rPr>
      </w:pPr>
      <w:r>
        <w:rPr>
          <w:rFonts w:hint="eastAsia" w:ascii="楷体_GB2312" w:hAnsi="楷体_GB2312" w:eastAsia="楷体_GB2312" w:cs="楷体_GB2312"/>
          <w:b w:val="0"/>
          <w:bCs w:val="0"/>
          <w:color w:val="auto"/>
          <w:spacing w:val="-20"/>
          <w:sz w:val="32"/>
          <w:szCs w:val="32"/>
          <w:highlight w:val="none"/>
          <w:u w:val="none"/>
        </w:rPr>
        <w:t>202</w:t>
      </w:r>
      <w:r>
        <w:rPr>
          <w:rFonts w:hint="eastAsia" w:ascii="楷体_GB2312" w:hAnsi="楷体_GB2312" w:eastAsia="楷体_GB2312" w:cs="楷体_GB2312"/>
          <w:b w:val="0"/>
          <w:bCs w:val="0"/>
          <w:color w:val="auto"/>
          <w:spacing w:val="-20"/>
          <w:sz w:val="32"/>
          <w:szCs w:val="32"/>
          <w:highlight w:val="none"/>
          <w:u w:val="none"/>
          <w:lang w:val="en-US" w:eastAsia="zh-CN"/>
        </w:rPr>
        <w:t>6</w:t>
      </w:r>
      <w:r>
        <w:rPr>
          <w:rFonts w:hint="eastAsia" w:ascii="楷体_GB2312" w:hAnsi="楷体_GB2312" w:eastAsia="楷体_GB2312" w:cs="楷体_GB2312"/>
          <w:b w:val="0"/>
          <w:bCs w:val="0"/>
          <w:color w:val="auto"/>
          <w:spacing w:val="-20"/>
          <w:sz w:val="32"/>
          <w:szCs w:val="32"/>
          <w:highlight w:val="none"/>
          <w:u w:val="none"/>
        </w:rPr>
        <w:t>年</w:t>
      </w:r>
      <w:r>
        <w:rPr>
          <w:rFonts w:hint="eastAsia" w:ascii="楷体_GB2312" w:hAnsi="楷体_GB2312" w:eastAsia="楷体_GB2312" w:cs="楷体_GB2312"/>
          <w:b w:val="0"/>
          <w:bCs w:val="0"/>
          <w:color w:val="auto"/>
          <w:spacing w:val="-20"/>
          <w:sz w:val="32"/>
          <w:szCs w:val="32"/>
          <w:highlight w:val="none"/>
          <w:u w:val="none"/>
          <w:lang w:val="en-US" w:eastAsia="zh-CN"/>
        </w:rPr>
        <w:t>02</w:t>
      </w:r>
      <w:r>
        <w:rPr>
          <w:rFonts w:hint="eastAsia" w:ascii="楷体_GB2312" w:hAnsi="楷体_GB2312" w:eastAsia="楷体_GB2312" w:cs="楷体_GB2312"/>
          <w:b w:val="0"/>
          <w:bCs w:val="0"/>
          <w:color w:val="auto"/>
          <w:spacing w:val="-20"/>
          <w:sz w:val="32"/>
          <w:szCs w:val="32"/>
          <w:highlight w:val="none"/>
          <w:u w:val="none"/>
        </w:rPr>
        <w:t>月</w:t>
      </w:r>
    </w:p>
    <w:p w14:paraId="1E72232F">
      <w:pPr>
        <w:keepNext w:val="0"/>
        <w:keepLines w:val="0"/>
        <w:pageBreakBefore w:val="0"/>
        <w:widowControl w:val="0"/>
        <w:kinsoku/>
        <w:wordWrap/>
        <w:overflowPunct/>
        <w:topLinePunct w:val="0"/>
        <w:autoSpaceDE/>
        <w:autoSpaceDN/>
        <w:bidi w:val="0"/>
        <w:adjustRightInd/>
        <w:snapToGrid/>
        <w:textAlignment w:val="auto"/>
        <w:outlineLvl w:val="9"/>
        <w:rPr>
          <w:rFonts w:hint="eastAsia" w:ascii="楷体_GB2312" w:hAnsi="楷体_GB2312" w:eastAsia="楷体_GB2312" w:cs="楷体_GB2312"/>
          <w:b w:val="0"/>
          <w:bCs w:val="0"/>
          <w:color w:val="auto"/>
          <w:spacing w:val="-20"/>
          <w:sz w:val="32"/>
          <w:szCs w:val="32"/>
          <w:highlight w:val="none"/>
          <w:u w:val="none"/>
        </w:rPr>
      </w:pPr>
    </w:p>
    <w:sdt>
      <w:sdtPr>
        <w:rPr>
          <w:rFonts w:ascii="宋体" w:hAnsi="宋体" w:eastAsia="宋体" w:cstheme="minorBidi"/>
          <w:sz w:val="21"/>
          <w:szCs w:val="22"/>
        </w:rPr>
        <w:id w:val="147457035"/>
        <w15:color w:val="DBDBDB"/>
        <w:docPartObj>
          <w:docPartGallery w:val="Table of Contents"/>
          <w:docPartUnique/>
        </w:docPartObj>
      </w:sdtPr>
      <w:sdtEndPr>
        <w:rPr>
          <w:rFonts w:hint="eastAsia" w:ascii="Times New Roman" w:hAnsi="Times New Roman" w:eastAsia="方正小标宋_GBK" w:cs="Times New Roman"/>
          <w:color w:val="auto"/>
          <w:kern w:val="2"/>
          <w:sz w:val="21"/>
          <w:szCs w:val="36"/>
          <w:u w:val="none"/>
          <w:lang w:val="en-US" w:eastAsia="zh-CN" w:bidi="ar-SA"/>
        </w:rPr>
      </w:sdtEndPr>
      <w:sdtContent>
        <w:p w14:paraId="321D97E1">
          <w:pPr>
            <w:keepNext w:val="0"/>
            <w:keepLines w:val="0"/>
            <w:pageBreakBefore w:val="0"/>
            <w:widowControl w:val="0"/>
            <w:kinsoku/>
            <w:wordWrap/>
            <w:overflowPunct/>
            <w:topLinePunct w:val="0"/>
            <w:autoSpaceDE/>
            <w:autoSpaceDN/>
            <w:bidi w:val="0"/>
            <w:adjustRightInd/>
            <w:snapToGrid/>
            <w:spacing w:before="0" w:beforeLines="0" w:after="361" w:afterLines="100" w:line="240" w:lineRule="auto"/>
            <w:ind w:left="0" w:leftChars="0" w:right="0" w:rightChars="0" w:firstLine="0" w:firstLineChars="0"/>
            <w:jc w:val="center"/>
            <w:textAlignment w:val="auto"/>
            <w:rPr>
              <w:rFonts w:hint="eastAsia" w:ascii="方正小标宋_GBK" w:hAnsi="方正小标宋_GBK" w:eastAsia="方正小标宋_GBK" w:cs="方正小标宋_GBK"/>
              <w:color w:val="auto"/>
              <w:spacing w:val="0"/>
              <w:kern w:val="0"/>
              <w:sz w:val="32"/>
              <w:szCs w:val="36"/>
              <w:highlight w:val="none"/>
              <w:u w:val="none"/>
            </w:rPr>
          </w:pPr>
          <w:r>
            <w:rPr>
              <w:rFonts w:hint="eastAsia" w:ascii="方正小标宋_GBK" w:hAnsi="方正小标宋_GBK" w:eastAsia="方正小标宋_GBK" w:cs="方正小标宋_GBK"/>
              <w:color w:val="auto"/>
              <w:spacing w:val="0"/>
              <w:kern w:val="0"/>
              <w:sz w:val="32"/>
              <w:szCs w:val="36"/>
              <w:highlight w:val="none"/>
              <w:u w:val="none"/>
            </w:rPr>
            <w:t>目录</w:t>
          </w:r>
        </w:p>
        <w:p w14:paraId="00C56D2E">
          <w:pPr>
            <w:pStyle w:val="14"/>
            <w:tabs>
              <w:tab w:val="right" w:leader="dot" w:pos="9026"/>
            </w:tabs>
            <w:spacing w:line="360" w:lineRule="auto"/>
            <w:rPr>
              <w:sz w:val="24"/>
              <w:szCs w:val="24"/>
            </w:rPr>
          </w:pPr>
          <w:r>
            <w:rPr>
              <w:rFonts w:hint="eastAsia" w:ascii="Times New Roman" w:hAnsi="Times New Roman" w:eastAsia="方正小标宋_GBK" w:cs="Times New Roman"/>
              <w:b/>
              <w:color w:val="auto"/>
              <w:kern w:val="2"/>
              <w:sz w:val="24"/>
              <w:szCs w:val="24"/>
              <w:u w:val="none"/>
              <w:lang w:val="en-US" w:eastAsia="zh-CN" w:bidi="ar-SA"/>
            </w:rPr>
            <w:fldChar w:fldCharType="begin"/>
          </w:r>
          <w:r>
            <w:rPr>
              <w:rFonts w:hint="eastAsia" w:ascii="Times New Roman" w:hAnsi="Times New Roman" w:eastAsia="方正小标宋_GBK" w:cs="Times New Roman"/>
              <w:b/>
              <w:color w:val="auto"/>
              <w:kern w:val="2"/>
              <w:sz w:val="24"/>
              <w:szCs w:val="24"/>
              <w:u w:val="none"/>
              <w:lang w:val="en-US" w:eastAsia="zh-CN" w:bidi="ar-SA"/>
            </w:rPr>
            <w:instrText xml:space="preserve">TOC \o "1-3" \h \u </w:instrText>
          </w:r>
          <w:r>
            <w:rPr>
              <w:rFonts w:hint="eastAsia" w:ascii="Times New Roman" w:hAnsi="Times New Roman" w:eastAsia="方正小标宋_GBK" w:cs="Times New Roman"/>
              <w:b/>
              <w:color w:val="auto"/>
              <w:kern w:val="2"/>
              <w:sz w:val="24"/>
              <w:szCs w:val="24"/>
              <w:u w:val="none"/>
              <w:lang w:val="en-US" w:eastAsia="zh-CN" w:bidi="ar-SA"/>
            </w:rPr>
            <w:fldChar w:fldCharType="separate"/>
          </w:r>
          <w:r>
            <w:rPr>
              <w:rFonts w:hint="eastAsia" w:ascii="Times New Roman" w:hAnsi="Times New Roman" w:eastAsia="方正小标宋_GBK" w:cs="Times New Roman"/>
              <w:color w:val="auto"/>
              <w:kern w:val="2"/>
              <w:sz w:val="24"/>
              <w:szCs w:val="24"/>
              <w:u w:val="none"/>
              <w:lang w:val="en-US" w:eastAsia="zh-CN" w:bidi="ar-SA"/>
            </w:rPr>
            <w:fldChar w:fldCharType="begin"/>
          </w:r>
          <w:r>
            <w:rPr>
              <w:rFonts w:hint="eastAsia" w:ascii="Times New Roman" w:hAnsi="Times New Roman" w:eastAsia="方正小标宋_GBK" w:cs="Times New Roman"/>
              <w:kern w:val="2"/>
              <w:sz w:val="24"/>
              <w:szCs w:val="24"/>
              <w:lang w:val="en-US" w:eastAsia="zh-CN" w:bidi="ar-SA"/>
            </w:rPr>
            <w:instrText xml:space="preserve"> HYPERLINK \l _Toc4887 </w:instrText>
          </w:r>
          <w:r>
            <w:rPr>
              <w:rFonts w:hint="eastAsia" w:ascii="Times New Roman" w:hAnsi="Times New Roman" w:eastAsia="方正小标宋_GBK" w:cs="Times New Roman"/>
              <w:kern w:val="2"/>
              <w:sz w:val="24"/>
              <w:szCs w:val="24"/>
              <w:lang w:val="en-US" w:eastAsia="zh-CN" w:bidi="ar-SA"/>
            </w:rPr>
            <w:fldChar w:fldCharType="separate"/>
          </w:r>
          <w:r>
            <w:rPr>
              <w:rFonts w:hint="eastAsia" w:ascii="Times New Roman" w:hAnsi="Times New Roman" w:eastAsia="方正小标宋_GBK" w:cs="Times New Roman"/>
              <w:kern w:val="2"/>
              <w:sz w:val="24"/>
              <w:szCs w:val="24"/>
              <w:lang w:val="en-US" w:eastAsia="zh-CN" w:bidi="ar-SA"/>
            </w:rPr>
            <w:t>序言</w:t>
          </w:r>
          <w:r>
            <w:rPr>
              <w:sz w:val="24"/>
              <w:szCs w:val="24"/>
            </w:rPr>
            <w:tab/>
          </w:r>
          <w:r>
            <w:rPr>
              <w:sz w:val="24"/>
              <w:szCs w:val="24"/>
            </w:rPr>
            <w:fldChar w:fldCharType="begin"/>
          </w:r>
          <w:r>
            <w:rPr>
              <w:sz w:val="24"/>
              <w:szCs w:val="24"/>
            </w:rPr>
            <w:instrText xml:space="preserve"> PAGEREF _Toc4887 \h </w:instrText>
          </w:r>
          <w:r>
            <w:rPr>
              <w:sz w:val="24"/>
              <w:szCs w:val="24"/>
            </w:rPr>
            <w:fldChar w:fldCharType="separate"/>
          </w:r>
          <w:r>
            <w:rPr>
              <w:sz w:val="24"/>
              <w:szCs w:val="24"/>
            </w:rPr>
            <w:t>- 1 -</w:t>
          </w:r>
          <w:r>
            <w:rPr>
              <w:sz w:val="24"/>
              <w:szCs w:val="24"/>
            </w:rPr>
            <w:fldChar w:fldCharType="end"/>
          </w:r>
          <w:r>
            <w:rPr>
              <w:rFonts w:hint="eastAsia" w:ascii="Times New Roman" w:hAnsi="Times New Roman" w:eastAsia="方正小标宋_GBK" w:cs="Times New Roman"/>
              <w:color w:val="auto"/>
              <w:kern w:val="2"/>
              <w:sz w:val="24"/>
              <w:szCs w:val="24"/>
              <w:u w:val="none"/>
              <w:lang w:val="en-US" w:eastAsia="zh-CN" w:bidi="ar-SA"/>
            </w:rPr>
            <w:fldChar w:fldCharType="end"/>
          </w:r>
        </w:p>
        <w:p w14:paraId="2B479551">
          <w:pPr>
            <w:pStyle w:val="14"/>
            <w:tabs>
              <w:tab w:val="right" w:leader="dot" w:pos="9026"/>
            </w:tabs>
            <w:spacing w:line="360" w:lineRule="auto"/>
            <w:rPr>
              <w:sz w:val="24"/>
              <w:szCs w:val="24"/>
            </w:rPr>
          </w:pPr>
          <w:r>
            <w:rPr>
              <w:rFonts w:hint="eastAsia" w:ascii="Times New Roman" w:hAnsi="Times New Roman" w:eastAsia="方正小标宋_GBK" w:cs="Times New Roman"/>
              <w:color w:val="auto"/>
              <w:kern w:val="2"/>
              <w:sz w:val="24"/>
              <w:szCs w:val="24"/>
              <w:u w:val="none"/>
              <w:lang w:val="en-US" w:eastAsia="zh-CN" w:bidi="ar-SA"/>
            </w:rPr>
            <w:fldChar w:fldCharType="begin"/>
          </w:r>
          <w:r>
            <w:rPr>
              <w:rFonts w:hint="eastAsia" w:ascii="Times New Roman" w:hAnsi="Times New Roman" w:eastAsia="方正小标宋_GBK" w:cs="Times New Roman"/>
              <w:kern w:val="2"/>
              <w:sz w:val="24"/>
              <w:szCs w:val="24"/>
              <w:lang w:val="en-US" w:eastAsia="zh-CN" w:bidi="ar-SA"/>
            </w:rPr>
            <w:instrText xml:space="preserve"> HYPERLINK \l _Toc25489 </w:instrText>
          </w:r>
          <w:r>
            <w:rPr>
              <w:rFonts w:hint="eastAsia" w:ascii="Times New Roman" w:hAnsi="Times New Roman" w:eastAsia="方正小标宋_GBK" w:cs="Times New Roman"/>
              <w:kern w:val="2"/>
              <w:sz w:val="24"/>
              <w:szCs w:val="24"/>
              <w:lang w:val="en-US" w:eastAsia="zh-CN" w:bidi="ar-SA"/>
            </w:rPr>
            <w:fldChar w:fldCharType="separate"/>
          </w:r>
          <w:r>
            <w:rPr>
              <w:rFonts w:hint="eastAsia" w:ascii="Times New Roman" w:hAnsi="Times New Roman" w:eastAsia="方正小标宋_GBK" w:cs="Times New Roman"/>
              <w:kern w:val="2"/>
              <w:sz w:val="24"/>
              <w:szCs w:val="24"/>
              <w:highlight w:val="none"/>
            </w:rPr>
            <w:t>第一篇：回顾“十四五”——总结实践</w:t>
          </w:r>
          <w:r>
            <w:rPr>
              <w:rFonts w:hint="eastAsia" w:ascii="Times New Roman" w:hAnsi="Times New Roman" w:eastAsia="方正小标宋_GBK" w:cs="Times New Roman"/>
              <w:kern w:val="2"/>
              <w:sz w:val="24"/>
              <w:szCs w:val="24"/>
              <w:highlight w:val="none"/>
              <w:lang w:val="en-US" w:eastAsia="zh-CN"/>
            </w:rPr>
            <w:t>求经验</w:t>
          </w:r>
          <w:r>
            <w:rPr>
              <w:sz w:val="24"/>
              <w:szCs w:val="24"/>
            </w:rPr>
            <w:tab/>
          </w:r>
          <w:r>
            <w:rPr>
              <w:sz w:val="24"/>
              <w:szCs w:val="24"/>
            </w:rPr>
            <w:fldChar w:fldCharType="begin"/>
          </w:r>
          <w:r>
            <w:rPr>
              <w:sz w:val="24"/>
              <w:szCs w:val="24"/>
            </w:rPr>
            <w:instrText xml:space="preserve"> PAGEREF _Toc25489 \h </w:instrText>
          </w:r>
          <w:r>
            <w:rPr>
              <w:sz w:val="24"/>
              <w:szCs w:val="24"/>
            </w:rPr>
            <w:fldChar w:fldCharType="separate"/>
          </w:r>
          <w:r>
            <w:rPr>
              <w:sz w:val="24"/>
              <w:szCs w:val="24"/>
            </w:rPr>
            <w:t>- 2 -</w:t>
          </w:r>
          <w:r>
            <w:rPr>
              <w:sz w:val="24"/>
              <w:szCs w:val="24"/>
            </w:rPr>
            <w:fldChar w:fldCharType="end"/>
          </w:r>
          <w:r>
            <w:rPr>
              <w:rFonts w:hint="eastAsia" w:ascii="Times New Roman" w:hAnsi="Times New Roman" w:eastAsia="方正小标宋_GBK" w:cs="Times New Roman"/>
              <w:color w:val="auto"/>
              <w:kern w:val="2"/>
              <w:sz w:val="24"/>
              <w:szCs w:val="24"/>
              <w:u w:val="none"/>
              <w:lang w:val="en-US" w:eastAsia="zh-CN" w:bidi="ar-SA"/>
            </w:rPr>
            <w:fldChar w:fldCharType="end"/>
          </w:r>
        </w:p>
        <w:p w14:paraId="7D6394FB">
          <w:pPr>
            <w:pStyle w:val="16"/>
            <w:tabs>
              <w:tab w:val="right" w:leader="dot" w:pos="9026"/>
            </w:tabs>
            <w:spacing w:line="360" w:lineRule="auto"/>
            <w:rPr>
              <w:sz w:val="24"/>
              <w:szCs w:val="24"/>
            </w:rPr>
          </w:pPr>
          <w:r>
            <w:rPr>
              <w:rFonts w:hint="eastAsia" w:ascii="Times New Roman" w:hAnsi="Times New Roman" w:eastAsia="方正小标宋_GBK" w:cs="Times New Roman"/>
              <w:color w:val="auto"/>
              <w:kern w:val="2"/>
              <w:sz w:val="24"/>
              <w:szCs w:val="24"/>
              <w:u w:val="none"/>
              <w:lang w:val="en-US" w:eastAsia="zh-CN" w:bidi="ar-SA"/>
            </w:rPr>
            <w:fldChar w:fldCharType="begin"/>
          </w:r>
          <w:r>
            <w:rPr>
              <w:rFonts w:hint="eastAsia" w:ascii="Times New Roman" w:hAnsi="Times New Roman" w:eastAsia="方正小标宋_GBK" w:cs="Times New Roman"/>
              <w:kern w:val="2"/>
              <w:sz w:val="24"/>
              <w:szCs w:val="24"/>
              <w:lang w:val="en-US" w:eastAsia="zh-CN" w:bidi="ar-SA"/>
            </w:rPr>
            <w:instrText xml:space="preserve"> HYPERLINK \l _Toc32052 </w:instrText>
          </w:r>
          <w:r>
            <w:rPr>
              <w:rFonts w:hint="eastAsia" w:ascii="Times New Roman" w:hAnsi="Times New Roman" w:eastAsia="方正小标宋_GBK" w:cs="Times New Roman"/>
              <w:kern w:val="2"/>
              <w:sz w:val="24"/>
              <w:szCs w:val="24"/>
              <w:lang w:val="en-US" w:eastAsia="zh-CN" w:bidi="ar-SA"/>
            </w:rPr>
            <w:fldChar w:fldCharType="separate"/>
          </w:r>
          <w:r>
            <w:rPr>
              <w:rFonts w:hint="eastAsia" w:ascii="Times New Roman" w:hAnsi="Times New Roman" w:eastAsia="方正小标宋_GBK" w:cs="Times New Roman"/>
              <w:kern w:val="2"/>
              <w:sz w:val="24"/>
              <w:szCs w:val="24"/>
              <w:highlight w:val="none"/>
              <w:lang w:val="en-US" w:eastAsia="zh-CN" w:bidi="ar-SA"/>
            </w:rPr>
            <w:t>第一章平稳起步，迈向现代化建设新征程</w:t>
          </w:r>
          <w:r>
            <w:rPr>
              <w:sz w:val="24"/>
              <w:szCs w:val="24"/>
            </w:rPr>
            <w:tab/>
          </w:r>
          <w:r>
            <w:rPr>
              <w:sz w:val="24"/>
              <w:szCs w:val="24"/>
            </w:rPr>
            <w:fldChar w:fldCharType="begin"/>
          </w:r>
          <w:r>
            <w:rPr>
              <w:sz w:val="24"/>
              <w:szCs w:val="24"/>
            </w:rPr>
            <w:instrText xml:space="preserve"> PAGEREF _Toc32052 \h </w:instrText>
          </w:r>
          <w:r>
            <w:rPr>
              <w:sz w:val="24"/>
              <w:szCs w:val="24"/>
            </w:rPr>
            <w:fldChar w:fldCharType="separate"/>
          </w:r>
          <w:r>
            <w:rPr>
              <w:sz w:val="24"/>
              <w:szCs w:val="24"/>
            </w:rPr>
            <w:t>- 2 -</w:t>
          </w:r>
          <w:r>
            <w:rPr>
              <w:sz w:val="24"/>
              <w:szCs w:val="24"/>
            </w:rPr>
            <w:fldChar w:fldCharType="end"/>
          </w:r>
          <w:r>
            <w:rPr>
              <w:rFonts w:hint="eastAsia" w:ascii="Times New Roman" w:hAnsi="Times New Roman" w:eastAsia="方正小标宋_GBK" w:cs="Times New Roman"/>
              <w:color w:val="auto"/>
              <w:kern w:val="2"/>
              <w:sz w:val="24"/>
              <w:szCs w:val="24"/>
              <w:u w:val="none"/>
              <w:lang w:val="en-US" w:eastAsia="zh-CN" w:bidi="ar-SA"/>
            </w:rPr>
            <w:fldChar w:fldCharType="end"/>
          </w:r>
        </w:p>
        <w:p w14:paraId="29B9271F">
          <w:pPr>
            <w:pStyle w:val="11"/>
            <w:tabs>
              <w:tab w:val="right" w:leader="dot" w:pos="9026"/>
            </w:tabs>
            <w:spacing w:line="360" w:lineRule="auto"/>
            <w:rPr>
              <w:sz w:val="24"/>
              <w:szCs w:val="24"/>
            </w:rPr>
          </w:pPr>
          <w:r>
            <w:rPr>
              <w:rFonts w:hint="eastAsia" w:ascii="Times New Roman" w:hAnsi="Times New Roman" w:eastAsia="方正小标宋_GBK" w:cs="Times New Roman"/>
              <w:color w:val="auto"/>
              <w:kern w:val="2"/>
              <w:sz w:val="24"/>
              <w:szCs w:val="24"/>
              <w:u w:val="none"/>
              <w:lang w:val="en-US" w:eastAsia="zh-CN" w:bidi="ar-SA"/>
            </w:rPr>
            <w:fldChar w:fldCharType="begin"/>
          </w:r>
          <w:r>
            <w:rPr>
              <w:rFonts w:hint="eastAsia" w:ascii="Times New Roman" w:hAnsi="Times New Roman" w:eastAsia="方正小标宋_GBK" w:cs="Times New Roman"/>
              <w:kern w:val="2"/>
              <w:sz w:val="24"/>
              <w:szCs w:val="24"/>
              <w:lang w:val="en-US" w:eastAsia="zh-CN" w:bidi="ar-SA"/>
            </w:rPr>
            <w:instrText xml:space="preserve"> HYPERLINK \l _Toc31682 </w:instrText>
          </w:r>
          <w:r>
            <w:rPr>
              <w:rFonts w:hint="eastAsia" w:ascii="Times New Roman" w:hAnsi="Times New Roman" w:eastAsia="方正小标宋_GBK" w:cs="Times New Roman"/>
              <w:kern w:val="2"/>
              <w:sz w:val="24"/>
              <w:szCs w:val="24"/>
              <w:lang w:val="en-US" w:eastAsia="zh-CN" w:bidi="ar-SA"/>
            </w:rPr>
            <w:fldChar w:fldCharType="separate"/>
          </w:r>
          <w:r>
            <w:rPr>
              <w:rFonts w:hint="eastAsia" w:ascii="Times New Roman" w:hAnsi="Times New Roman" w:eastAsia="黑体" w:cs="Times New Roman"/>
              <w:bCs/>
              <w:kern w:val="2"/>
              <w:sz w:val="24"/>
              <w:szCs w:val="24"/>
              <w:highlight w:val="none"/>
              <w:lang w:val="en-US" w:eastAsia="zh-CN" w:bidi="ar-SA"/>
            </w:rPr>
            <w:t>第一节“十四五”发展成就</w:t>
          </w:r>
          <w:r>
            <w:rPr>
              <w:sz w:val="24"/>
              <w:szCs w:val="24"/>
            </w:rPr>
            <w:tab/>
          </w:r>
          <w:r>
            <w:rPr>
              <w:sz w:val="24"/>
              <w:szCs w:val="24"/>
            </w:rPr>
            <w:fldChar w:fldCharType="begin"/>
          </w:r>
          <w:r>
            <w:rPr>
              <w:sz w:val="24"/>
              <w:szCs w:val="24"/>
            </w:rPr>
            <w:instrText xml:space="preserve"> PAGEREF _Toc31682 \h </w:instrText>
          </w:r>
          <w:r>
            <w:rPr>
              <w:sz w:val="24"/>
              <w:szCs w:val="24"/>
            </w:rPr>
            <w:fldChar w:fldCharType="separate"/>
          </w:r>
          <w:r>
            <w:rPr>
              <w:sz w:val="24"/>
              <w:szCs w:val="24"/>
            </w:rPr>
            <w:t>- 2 -</w:t>
          </w:r>
          <w:r>
            <w:rPr>
              <w:sz w:val="24"/>
              <w:szCs w:val="24"/>
            </w:rPr>
            <w:fldChar w:fldCharType="end"/>
          </w:r>
          <w:r>
            <w:rPr>
              <w:rFonts w:hint="eastAsia" w:ascii="Times New Roman" w:hAnsi="Times New Roman" w:eastAsia="方正小标宋_GBK" w:cs="Times New Roman"/>
              <w:color w:val="auto"/>
              <w:kern w:val="2"/>
              <w:sz w:val="24"/>
              <w:szCs w:val="24"/>
              <w:u w:val="none"/>
              <w:lang w:val="en-US" w:eastAsia="zh-CN" w:bidi="ar-SA"/>
            </w:rPr>
            <w:fldChar w:fldCharType="end"/>
          </w:r>
        </w:p>
        <w:p w14:paraId="5451D33C">
          <w:pPr>
            <w:pStyle w:val="11"/>
            <w:tabs>
              <w:tab w:val="right" w:leader="dot" w:pos="9026"/>
            </w:tabs>
            <w:spacing w:line="360" w:lineRule="auto"/>
            <w:rPr>
              <w:sz w:val="24"/>
              <w:szCs w:val="24"/>
            </w:rPr>
          </w:pPr>
          <w:r>
            <w:rPr>
              <w:rFonts w:hint="eastAsia" w:ascii="Times New Roman" w:hAnsi="Times New Roman" w:eastAsia="方正小标宋_GBK" w:cs="Times New Roman"/>
              <w:color w:val="auto"/>
              <w:kern w:val="2"/>
              <w:sz w:val="24"/>
              <w:szCs w:val="24"/>
              <w:u w:val="none"/>
              <w:lang w:val="en-US" w:eastAsia="zh-CN" w:bidi="ar-SA"/>
            </w:rPr>
            <w:fldChar w:fldCharType="begin"/>
          </w:r>
          <w:r>
            <w:rPr>
              <w:rFonts w:hint="eastAsia" w:ascii="Times New Roman" w:hAnsi="Times New Roman" w:eastAsia="方正小标宋_GBK" w:cs="Times New Roman"/>
              <w:kern w:val="2"/>
              <w:sz w:val="24"/>
              <w:szCs w:val="24"/>
              <w:lang w:val="en-US" w:eastAsia="zh-CN" w:bidi="ar-SA"/>
            </w:rPr>
            <w:instrText xml:space="preserve"> HYPERLINK \l _Toc6055 </w:instrText>
          </w:r>
          <w:r>
            <w:rPr>
              <w:rFonts w:hint="eastAsia" w:ascii="Times New Roman" w:hAnsi="Times New Roman" w:eastAsia="方正小标宋_GBK" w:cs="Times New Roman"/>
              <w:kern w:val="2"/>
              <w:sz w:val="24"/>
              <w:szCs w:val="24"/>
              <w:lang w:val="en-US" w:eastAsia="zh-CN" w:bidi="ar-SA"/>
            </w:rPr>
            <w:fldChar w:fldCharType="separate"/>
          </w:r>
          <w:r>
            <w:rPr>
              <w:rFonts w:hint="eastAsia" w:ascii="Times New Roman" w:hAnsi="Times New Roman" w:eastAsia="黑体" w:cs="Times New Roman"/>
              <w:bCs/>
              <w:kern w:val="2"/>
              <w:sz w:val="24"/>
              <w:szCs w:val="24"/>
              <w:highlight w:val="none"/>
              <w:lang w:val="en-US" w:eastAsia="zh-CN" w:bidi="ar-SA"/>
            </w:rPr>
            <w:t>第二节“十五五”发展环境</w:t>
          </w:r>
          <w:r>
            <w:rPr>
              <w:sz w:val="24"/>
              <w:szCs w:val="24"/>
            </w:rPr>
            <w:tab/>
          </w:r>
          <w:r>
            <w:rPr>
              <w:sz w:val="24"/>
              <w:szCs w:val="24"/>
            </w:rPr>
            <w:fldChar w:fldCharType="begin"/>
          </w:r>
          <w:r>
            <w:rPr>
              <w:sz w:val="24"/>
              <w:szCs w:val="24"/>
            </w:rPr>
            <w:instrText xml:space="preserve"> PAGEREF _Toc6055 \h </w:instrText>
          </w:r>
          <w:r>
            <w:rPr>
              <w:sz w:val="24"/>
              <w:szCs w:val="24"/>
            </w:rPr>
            <w:fldChar w:fldCharType="separate"/>
          </w:r>
          <w:r>
            <w:rPr>
              <w:sz w:val="24"/>
              <w:szCs w:val="24"/>
            </w:rPr>
            <w:t>- 15 -</w:t>
          </w:r>
          <w:r>
            <w:rPr>
              <w:sz w:val="24"/>
              <w:szCs w:val="24"/>
            </w:rPr>
            <w:fldChar w:fldCharType="end"/>
          </w:r>
          <w:r>
            <w:rPr>
              <w:rFonts w:hint="eastAsia" w:ascii="Times New Roman" w:hAnsi="Times New Roman" w:eastAsia="方正小标宋_GBK" w:cs="Times New Roman"/>
              <w:color w:val="auto"/>
              <w:kern w:val="2"/>
              <w:sz w:val="24"/>
              <w:szCs w:val="24"/>
              <w:u w:val="none"/>
              <w:lang w:val="en-US" w:eastAsia="zh-CN" w:bidi="ar-SA"/>
            </w:rPr>
            <w:fldChar w:fldCharType="end"/>
          </w:r>
        </w:p>
        <w:p w14:paraId="6F1B1E3E">
          <w:pPr>
            <w:pStyle w:val="14"/>
            <w:tabs>
              <w:tab w:val="right" w:leader="dot" w:pos="9026"/>
            </w:tabs>
            <w:spacing w:line="360" w:lineRule="auto"/>
            <w:rPr>
              <w:sz w:val="24"/>
              <w:szCs w:val="24"/>
            </w:rPr>
          </w:pPr>
          <w:r>
            <w:rPr>
              <w:rFonts w:hint="eastAsia" w:ascii="Times New Roman" w:hAnsi="Times New Roman" w:eastAsia="方正小标宋_GBK" w:cs="Times New Roman"/>
              <w:color w:val="auto"/>
              <w:kern w:val="2"/>
              <w:sz w:val="24"/>
              <w:szCs w:val="24"/>
              <w:u w:val="none"/>
              <w:lang w:val="en-US" w:eastAsia="zh-CN" w:bidi="ar-SA"/>
            </w:rPr>
            <w:fldChar w:fldCharType="begin"/>
          </w:r>
          <w:r>
            <w:rPr>
              <w:rFonts w:hint="eastAsia" w:ascii="Times New Roman" w:hAnsi="Times New Roman" w:eastAsia="方正小标宋_GBK" w:cs="Times New Roman"/>
              <w:kern w:val="2"/>
              <w:sz w:val="24"/>
              <w:szCs w:val="24"/>
              <w:lang w:val="en-US" w:eastAsia="zh-CN" w:bidi="ar-SA"/>
            </w:rPr>
            <w:instrText xml:space="preserve"> HYPERLINK \l _Toc20349 </w:instrText>
          </w:r>
          <w:r>
            <w:rPr>
              <w:rFonts w:hint="eastAsia" w:ascii="Times New Roman" w:hAnsi="Times New Roman" w:eastAsia="方正小标宋_GBK" w:cs="Times New Roman"/>
              <w:kern w:val="2"/>
              <w:sz w:val="24"/>
              <w:szCs w:val="24"/>
              <w:lang w:val="en-US" w:eastAsia="zh-CN" w:bidi="ar-SA"/>
            </w:rPr>
            <w:fldChar w:fldCharType="separate"/>
          </w:r>
          <w:r>
            <w:rPr>
              <w:rFonts w:hint="default" w:ascii="Times New Roman" w:hAnsi="Times New Roman" w:eastAsia="方正小标宋_GBK" w:cs="Times New Roman"/>
              <w:kern w:val="2"/>
              <w:sz w:val="24"/>
              <w:szCs w:val="24"/>
              <w:highlight w:val="none"/>
            </w:rPr>
            <w:t>第二篇：</w:t>
          </w:r>
          <w:r>
            <w:rPr>
              <w:rFonts w:hint="eastAsia" w:ascii="Times New Roman" w:hAnsi="Times New Roman" w:eastAsia="方正小标宋_GBK" w:cs="Times New Roman"/>
              <w:kern w:val="2"/>
              <w:sz w:val="24"/>
              <w:szCs w:val="24"/>
              <w:highlight w:val="none"/>
              <w:lang w:val="en-US" w:eastAsia="zh-CN"/>
            </w:rPr>
            <w:t>展望</w:t>
          </w:r>
          <w:r>
            <w:rPr>
              <w:rFonts w:hint="default" w:ascii="Times New Roman" w:hAnsi="Times New Roman" w:eastAsia="方正小标宋_GBK" w:cs="Times New Roman"/>
              <w:kern w:val="2"/>
              <w:sz w:val="24"/>
              <w:szCs w:val="24"/>
              <w:highlight w:val="none"/>
            </w:rPr>
            <w:t>“十五五”——锚定目标</w:t>
          </w:r>
          <w:r>
            <w:rPr>
              <w:rFonts w:hint="eastAsia" w:ascii="Times New Roman" w:hAnsi="Times New Roman" w:eastAsia="方正小标宋_GBK" w:cs="Times New Roman"/>
              <w:kern w:val="2"/>
              <w:sz w:val="24"/>
              <w:szCs w:val="24"/>
              <w:highlight w:val="none"/>
              <w:lang w:val="en-US" w:eastAsia="zh-CN"/>
            </w:rPr>
            <w:t>明方向</w:t>
          </w:r>
          <w:r>
            <w:rPr>
              <w:sz w:val="24"/>
              <w:szCs w:val="24"/>
            </w:rPr>
            <w:tab/>
          </w:r>
          <w:r>
            <w:rPr>
              <w:sz w:val="24"/>
              <w:szCs w:val="24"/>
            </w:rPr>
            <w:fldChar w:fldCharType="begin"/>
          </w:r>
          <w:r>
            <w:rPr>
              <w:sz w:val="24"/>
              <w:szCs w:val="24"/>
            </w:rPr>
            <w:instrText xml:space="preserve"> PAGEREF _Toc20349 \h </w:instrText>
          </w:r>
          <w:r>
            <w:rPr>
              <w:sz w:val="24"/>
              <w:szCs w:val="24"/>
            </w:rPr>
            <w:fldChar w:fldCharType="separate"/>
          </w:r>
          <w:r>
            <w:rPr>
              <w:sz w:val="24"/>
              <w:szCs w:val="24"/>
            </w:rPr>
            <w:t>- 20 -</w:t>
          </w:r>
          <w:r>
            <w:rPr>
              <w:sz w:val="24"/>
              <w:szCs w:val="24"/>
            </w:rPr>
            <w:fldChar w:fldCharType="end"/>
          </w:r>
          <w:r>
            <w:rPr>
              <w:rFonts w:hint="eastAsia" w:ascii="Times New Roman" w:hAnsi="Times New Roman" w:eastAsia="方正小标宋_GBK" w:cs="Times New Roman"/>
              <w:color w:val="auto"/>
              <w:kern w:val="2"/>
              <w:sz w:val="24"/>
              <w:szCs w:val="24"/>
              <w:u w:val="none"/>
              <w:lang w:val="en-US" w:eastAsia="zh-CN" w:bidi="ar-SA"/>
            </w:rPr>
            <w:fldChar w:fldCharType="end"/>
          </w:r>
        </w:p>
        <w:p w14:paraId="065B9D21">
          <w:pPr>
            <w:pStyle w:val="16"/>
            <w:tabs>
              <w:tab w:val="right" w:leader="dot" w:pos="9026"/>
            </w:tabs>
            <w:spacing w:line="360" w:lineRule="auto"/>
            <w:rPr>
              <w:sz w:val="24"/>
              <w:szCs w:val="24"/>
            </w:rPr>
          </w:pPr>
          <w:r>
            <w:rPr>
              <w:rFonts w:hint="eastAsia" w:ascii="Times New Roman" w:hAnsi="Times New Roman" w:eastAsia="方正小标宋_GBK" w:cs="Times New Roman"/>
              <w:color w:val="auto"/>
              <w:kern w:val="2"/>
              <w:sz w:val="24"/>
              <w:szCs w:val="24"/>
              <w:u w:val="none"/>
              <w:lang w:val="en-US" w:eastAsia="zh-CN" w:bidi="ar-SA"/>
            </w:rPr>
            <w:fldChar w:fldCharType="begin"/>
          </w:r>
          <w:r>
            <w:rPr>
              <w:rFonts w:hint="eastAsia" w:ascii="Times New Roman" w:hAnsi="Times New Roman" w:eastAsia="方正小标宋_GBK" w:cs="Times New Roman"/>
              <w:kern w:val="2"/>
              <w:sz w:val="24"/>
              <w:szCs w:val="24"/>
              <w:lang w:val="en-US" w:eastAsia="zh-CN" w:bidi="ar-SA"/>
            </w:rPr>
            <w:instrText xml:space="preserve"> HYPERLINK \l _Toc16312 </w:instrText>
          </w:r>
          <w:r>
            <w:rPr>
              <w:rFonts w:hint="eastAsia" w:ascii="Times New Roman" w:hAnsi="Times New Roman" w:eastAsia="方正小标宋_GBK" w:cs="Times New Roman"/>
              <w:kern w:val="2"/>
              <w:sz w:val="24"/>
              <w:szCs w:val="24"/>
              <w:lang w:val="en-US" w:eastAsia="zh-CN" w:bidi="ar-SA"/>
            </w:rPr>
            <w:fldChar w:fldCharType="separate"/>
          </w:r>
          <w:r>
            <w:rPr>
              <w:rFonts w:hint="eastAsia" w:ascii="Times New Roman" w:hAnsi="Times New Roman" w:eastAsia="方正小标宋_GBK" w:cs="Times New Roman"/>
              <w:kern w:val="2"/>
              <w:sz w:val="24"/>
              <w:szCs w:val="24"/>
              <w:highlight w:val="none"/>
              <w:lang w:val="en-US" w:eastAsia="zh-CN" w:bidi="ar-SA"/>
            </w:rPr>
            <w:t>第二章立足新起点，擘画未来发展新蓝图</w:t>
          </w:r>
          <w:r>
            <w:rPr>
              <w:sz w:val="24"/>
              <w:szCs w:val="24"/>
            </w:rPr>
            <w:tab/>
          </w:r>
          <w:r>
            <w:rPr>
              <w:sz w:val="24"/>
              <w:szCs w:val="24"/>
            </w:rPr>
            <w:fldChar w:fldCharType="begin"/>
          </w:r>
          <w:r>
            <w:rPr>
              <w:sz w:val="24"/>
              <w:szCs w:val="24"/>
            </w:rPr>
            <w:instrText xml:space="preserve"> PAGEREF _Toc16312 \h </w:instrText>
          </w:r>
          <w:r>
            <w:rPr>
              <w:sz w:val="24"/>
              <w:szCs w:val="24"/>
            </w:rPr>
            <w:fldChar w:fldCharType="separate"/>
          </w:r>
          <w:r>
            <w:rPr>
              <w:sz w:val="24"/>
              <w:szCs w:val="24"/>
            </w:rPr>
            <w:t>- 20 -</w:t>
          </w:r>
          <w:r>
            <w:rPr>
              <w:sz w:val="24"/>
              <w:szCs w:val="24"/>
            </w:rPr>
            <w:fldChar w:fldCharType="end"/>
          </w:r>
          <w:r>
            <w:rPr>
              <w:rFonts w:hint="eastAsia" w:ascii="Times New Roman" w:hAnsi="Times New Roman" w:eastAsia="方正小标宋_GBK" w:cs="Times New Roman"/>
              <w:color w:val="auto"/>
              <w:kern w:val="2"/>
              <w:sz w:val="24"/>
              <w:szCs w:val="24"/>
              <w:u w:val="none"/>
              <w:lang w:val="en-US" w:eastAsia="zh-CN" w:bidi="ar-SA"/>
            </w:rPr>
            <w:fldChar w:fldCharType="end"/>
          </w:r>
        </w:p>
        <w:p w14:paraId="44408106">
          <w:pPr>
            <w:pStyle w:val="11"/>
            <w:tabs>
              <w:tab w:val="right" w:leader="dot" w:pos="9026"/>
            </w:tabs>
            <w:spacing w:line="360" w:lineRule="auto"/>
            <w:rPr>
              <w:sz w:val="24"/>
              <w:szCs w:val="24"/>
            </w:rPr>
          </w:pPr>
          <w:r>
            <w:rPr>
              <w:rFonts w:hint="eastAsia" w:ascii="Times New Roman" w:hAnsi="Times New Roman" w:eastAsia="方正小标宋_GBK" w:cs="Times New Roman"/>
              <w:color w:val="auto"/>
              <w:kern w:val="2"/>
              <w:sz w:val="24"/>
              <w:szCs w:val="24"/>
              <w:u w:val="none"/>
              <w:lang w:val="en-US" w:eastAsia="zh-CN" w:bidi="ar-SA"/>
            </w:rPr>
            <w:fldChar w:fldCharType="begin"/>
          </w:r>
          <w:r>
            <w:rPr>
              <w:rFonts w:hint="eastAsia" w:ascii="Times New Roman" w:hAnsi="Times New Roman" w:eastAsia="方正小标宋_GBK" w:cs="Times New Roman"/>
              <w:kern w:val="2"/>
              <w:sz w:val="24"/>
              <w:szCs w:val="24"/>
              <w:lang w:val="en-US" w:eastAsia="zh-CN" w:bidi="ar-SA"/>
            </w:rPr>
            <w:instrText xml:space="preserve"> HYPERLINK \l _Toc13595 </w:instrText>
          </w:r>
          <w:r>
            <w:rPr>
              <w:rFonts w:hint="eastAsia" w:ascii="Times New Roman" w:hAnsi="Times New Roman" w:eastAsia="方正小标宋_GBK" w:cs="Times New Roman"/>
              <w:kern w:val="2"/>
              <w:sz w:val="24"/>
              <w:szCs w:val="24"/>
              <w:lang w:val="en-US" w:eastAsia="zh-CN" w:bidi="ar-SA"/>
            </w:rPr>
            <w:fldChar w:fldCharType="separate"/>
          </w:r>
          <w:r>
            <w:rPr>
              <w:rFonts w:hint="eastAsia" w:ascii="Times New Roman" w:hAnsi="Times New Roman" w:eastAsia="黑体" w:cs="Times New Roman"/>
              <w:bCs/>
              <w:kern w:val="2"/>
              <w:sz w:val="24"/>
              <w:szCs w:val="24"/>
              <w:highlight w:val="none"/>
              <w:lang w:val="en-US" w:eastAsia="zh-CN" w:bidi="ar-SA"/>
            </w:rPr>
            <w:t>第一节指导思想</w:t>
          </w:r>
          <w:r>
            <w:rPr>
              <w:sz w:val="24"/>
              <w:szCs w:val="24"/>
            </w:rPr>
            <w:tab/>
          </w:r>
          <w:r>
            <w:rPr>
              <w:sz w:val="24"/>
              <w:szCs w:val="24"/>
            </w:rPr>
            <w:fldChar w:fldCharType="begin"/>
          </w:r>
          <w:r>
            <w:rPr>
              <w:sz w:val="24"/>
              <w:szCs w:val="24"/>
            </w:rPr>
            <w:instrText xml:space="preserve"> PAGEREF _Toc13595 \h </w:instrText>
          </w:r>
          <w:r>
            <w:rPr>
              <w:sz w:val="24"/>
              <w:szCs w:val="24"/>
            </w:rPr>
            <w:fldChar w:fldCharType="separate"/>
          </w:r>
          <w:r>
            <w:rPr>
              <w:sz w:val="24"/>
              <w:szCs w:val="24"/>
            </w:rPr>
            <w:t>- 20 -</w:t>
          </w:r>
          <w:r>
            <w:rPr>
              <w:sz w:val="24"/>
              <w:szCs w:val="24"/>
            </w:rPr>
            <w:fldChar w:fldCharType="end"/>
          </w:r>
          <w:r>
            <w:rPr>
              <w:rFonts w:hint="eastAsia" w:ascii="Times New Roman" w:hAnsi="Times New Roman" w:eastAsia="方正小标宋_GBK" w:cs="Times New Roman"/>
              <w:color w:val="auto"/>
              <w:kern w:val="2"/>
              <w:sz w:val="24"/>
              <w:szCs w:val="24"/>
              <w:u w:val="none"/>
              <w:lang w:val="en-US" w:eastAsia="zh-CN" w:bidi="ar-SA"/>
            </w:rPr>
            <w:fldChar w:fldCharType="end"/>
          </w:r>
        </w:p>
        <w:p w14:paraId="695B34C2">
          <w:pPr>
            <w:pStyle w:val="11"/>
            <w:tabs>
              <w:tab w:val="right" w:leader="dot" w:pos="9026"/>
            </w:tabs>
            <w:spacing w:line="360" w:lineRule="auto"/>
            <w:rPr>
              <w:sz w:val="24"/>
              <w:szCs w:val="24"/>
            </w:rPr>
          </w:pPr>
          <w:r>
            <w:rPr>
              <w:rFonts w:hint="eastAsia" w:ascii="Times New Roman" w:hAnsi="Times New Roman" w:eastAsia="方正小标宋_GBK" w:cs="Times New Roman"/>
              <w:color w:val="auto"/>
              <w:kern w:val="2"/>
              <w:sz w:val="24"/>
              <w:szCs w:val="24"/>
              <w:u w:val="none"/>
              <w:lang w:val="en-US" w:eastAsia="zh-CN" w:bidi="ar-SA"/>
            </w:rPr>
            <w:fldChar w:fldCharType="begin"/>
          </w:r>
          <w:r>
            <w:rPr>
              <w:rFonts w:hint="eastAsia" w:ascii="Times New Roman" w:hAnsi="Times New Roman" w:eastAsia="方正小标宋_GBK" w:cs="Times New Roman"/>
              <w:kern w:val="2"/>
              <w:sz w:val="24"/>
              <w:szCs w:val="24"/>
              <w:lang w:val="en-US" w:eastAsia="zh-CN" w:bidi="ar-SA"/>
            </w:rPr>
            <w:instrText xml:space="preserve"> HYPERLINK \l _Toc32343 </w:instrText>
          </w:r>
          <w:r>
            <w:rPr>
              <w:rFonts w:hint="eastAsia" w:ascii="Times New Roman" w:hAnsi="Times New Roman" w:eastAsia="方正小标宋_GBK" w:cs="Times New Roman"/>
              <w:kern w:val="2"/>
              <w:sz w:val="24"/>
              <w:szCs w:val="24"/>
              <w:lang w:val="en-US" w:eastAsia="zh-CN" w:bidi="ar-SA"/>
            </w:rPr>
            <w:fldChar w:fldCharType="separate"/>
          </w:r>
          <w:r>
            <w:rPr>
              <w:rFonts w:hint="eastAsia" w:ascii="Times New Roman" w:hAnsi="Times New Roman" w:eastAsia="黑体" w:cs="Times New Roman"/>
              <w:bCs/>
              <w:kern w:val="2"/>
              <w:sz w:val="24"/>
              <w:szCs w:val="24"/>
              <w:highlight w:val="none"/>
              <w:lang w:val="en-US" w:eastAsia="zh-CN" w:bidi="ar-SA"/>
            </w:rPr>
            <w:t>第二节基本原则</w:t>
          </w:r>
          <w:r>
            <w:rPr>
              <w:sz w:val="24"/>
              <w:szCs w:val="24"/>
            </w:rPr>
            <w:tab/>
          </w:r>
          <w:r>
            <w:rPr>
              <w:sz w:val="24"/>
              <w:szCs w:val="24"/>
            </w:rPr>
            <w:fldChar w:fldCharType="begin"/>
          </w:r>
          <w:r>
            <w:rPr>
              <w:sz w:val="24"/>
              <w:szCs w:val="24"/>
            </w:rPr>
            <w:instrText xml:space="preserve"> PAGEREF _Toc32343 \h </w:instrText>
          </w:r>
          <w:r>
            <w:rPr>
              <w:sz w:val="24"/>
              <w:szCs w:val="24"/>
            </w:rPr>
            <w:fldChar w:fldCharType="separate"/>
          </w:r>
          <w:r>
            <w:rPr>
              <w:sz w:val="24"/>
              <w:szCs w:val="24"/>
            </w:rPr>
            <w:t>- 20 -</w:t>
          </w:r>
          <w:r>
            <w:rPr>
              <w:sz w:val="24"/>
              <w:szCs w:val="24"/>
            </w:rPr>
            <w:fldChar w:fldCharType="end"/>
          </w:r>
          <w:r>
            <w:rPr>
              <w:rFonts w:hint="eastAsia" w:ascii="Times New Roman" w:hAnsi="Times New Roman" w:eastAsia="方正小标宋_GBK" w:cs="Times New Roman"/>
              <w:color w:val="auto"/>
              <w:kern w:val="2"/>
              <w:sz w:val="24"/>
              <w:szCs w:val="24"/>
              <w:u w:val="none"/>
              <w:lang w:val="en-US" w:eastAsia="zh-CN" w:bidi="ar-SA"/>
            </w:rPr>
            <w:fldChar w:fldCharType="end"/>
          </w:r>
        </w:p>
        <w:p w14:paraId="7C397F5B">
          <w:pPr>
            <w:pStyle w:val="11"/>
            <w:tabs>
              <w:tab w:val="right" w:leader="dot" w:pos="9026"/>
            </w:tabs>
            <w:spacing w:line="360" w:lineRule="auto"/>
            <w:rPr>
              <w:sz w:val="24"/>
              <w:szCs w:val="24"/>
            </w:rPr>
          </w:pPr>
          <w:r>
            <w:rPr>
              <w:rFonts w:hint="eastAsia" w:ascii="Times New Roman" w:hAnsi="Times New Roman" w:eastAsia="方正小标宋_GBK" w:cs="Times New Roman"/>
              <w:color w:val="auto"/>
              <w:kern w:val="2"/>
              <w:sz w:val="24"/>
              <w:szCs w:val="24"/>
              <w:u w:val="none"/>
              <w:lang w:val="en-US" w:eastAsia="zh-CN" w:bidi="ar-SA"/>
            </w:rPr>
            <w:fldChar w:fldCharType="begin"/>
          </w:r>
          <w:r>
            <w:rPr>
              <w:rFonts w:hint="eastAsia" w:ascii="Times New Roman" w:hAnsi="Times New Roman" w:eastAsia="方正小标宋_GBK" w:cs="Times New Roman"/>
              <w:kern w:val="2"/>
              <w:sz w:val="24"/>
              <w:szCs w:val="24"/>
              <w:lang w:val="en-US" w:eastAsia="zh-CN" w:bidi="ar-SA"/>
            </w:rPr>
            <w:instrText xml:space="preserve"> HYPERLINK \l _Toc25319 </w:instrText>
          </w:r>
          <w:r>
            <w:rPr>
              <w:rFonts w:hint="eastAsia" w:ascii="Times New Roman" w:hAnsi="Times New Roman" w:eastAsia="方正小标宋_GBK" w:cs="Times New Roman"/>
              <w:kern w:val="2"/>
              <w:sz w:val="24"/>
              <w:szCs w:val="24"/>
              <w:lang w:val="en-US" w:eastAsia="zh-CN" w:bidi="ar-SA"/>
            </w:rPr>
            <w:fldChar w:fldCharType="separate"/>
          </w:r>
          <w:r>
            <w:rPr>
              <w:rFonts w:hint="eastAsia" w:ascii="Times New Roman" w:hAnsi="Times New Roman" w:eastAsia="黑体" w:cs="Times New Roman"/>
              <w:bCs/>
              <w:kern w:val="2"/>
              <w:sz w:val="24"/>
              <w:szCs w:val="24"/>
              <w:highlight w:val="none"/>
              <w:lang w:val="en-US" w:eastAsia="zh-CN" w:bidi="ar-SA"/>
            </w:rPr>
            <w:t>第三节发展定位</w:t>
          </w:r>
          <w:r>
            <w:rPr>
              <w:sz w:val="24"/>
              <w:szCs w:val="24"/>
            </w:rPr>
            <w:tab/>
          </w:r>
          <w:r>
            <w:rPr>
              <w:sz w:val="24"/>
              <w:szCs w:val="24"/>
            </w:rPr>
            <w:fldChar w:fldCharType="begin"/>
          </w:r>
          <w:r>
            <w:rPr>
              <w:sz w:val="24"/>
              <w:szCs w:val="24"/>
            </w:rPr>
            <w:instrText xml:space="preserve"> PAGEREF _Toc25319 \h </w:instrText>
          </w:r>
          <w:r>
            <w:rPr>
              <w:sz w:val="24"/>
              <w:szCs w:val="24"/>
            </w:rPr>
            <w:fldChar w:fldCharType="separate"/>
          </w:r>
          <w:r>
            <w:rPr>
              <w:sz w:val="24"/>
              <w:szCs w:val="24"/>
            </w:rPr>
            <w:t>- 22 -</w:t>
          </w:r>
          <w:r>
            <w:rPr>
              <w:sz w:val="24"/>
              <w:szCs w:val="24"/>
            </w:rPr>
            <w:fldChar w:fldCharType="end"/>
          </w:r>
          <w:r>
            <w:rPr>
              <w:rFonts w:hint="eastAsia" w:ascii="Times New Roman" w:hAnsi="Times New Roman" w:eastAsia="方正小标宋_GBK" w:cs="Times New Roman"/>
              <w:color w:val="auto"/>
              <w:kern w:val="2"/>
              <w:sz w:val="24"/>
              <w:szCs w:val="24"/>
              <w:u w:val="none"/>
              <w:lang w:val="en-US" w:eastAsia="zh-CN" w:bidi="ar-SA"/>
            </w:rPr>
            <w:fldChar w:fldCharType="end"/>
          </w:r>
        </w:p>
        <w:p w14:paraId="7966EC79">
          <w:pPr>
            <w:pStyle w:val="11"/>
            <w:tabs>
              <w:tab w:val="right" w:leader="dot" w:pos="9026"/>
            </w:tabs>
            <w:spacing w:line="360" w:lineRule="auto"/>
            <w:rPr>
              <w:sz w:val="24"/>
              <w:szCs w:val="24"/>
            </w:rPr>
          </w:pPr>
          <w:r>
            <w:rPr>
              <w:rFonts w:hint="eastAsia" w:ascii="Times New Roman" w:hAnsi="Times New Roman" w:eastAsia="方正小标宋_GBK" w:cs="Times New Roman"/>
              <w:color w:val="auto"/>
              <w:kern w:val="2"/>
              <w:sz w:val="24"/>
              <w:szCs w:val="24"/>
              <w:u w:val="none"/>
              <w:lang w:val="en-US" w:eastAsia="zh-CN" w:bidi="ar-SA"/>
            </w:rPr>
            <w:fldChar w:fldCharType="begin"/>
          </w:r>
          <w:r>
            <w:rPr>
              <w:rFonts w:hint="eastAsia" w:ascii="Times New Roman" w:hAnsi="Times New Roman" w:eastAsia="方正小标宋_GBK" w:cs="Times New Roman"/>
              <w:kern w:val="2"/>
              <w:sz w:val="24"/>
              <w:szCs w:val="24"/>
              <w:lang w:val="en-US" w:eastAsia="zh-CN" w:bidi="ar-SA"/>
            </w:rPr>
            <w:instrText xml:space="preserve"> HYPERLINK \l _Toc32541 </w:instrText>
          </w:r>
          <w:r>
            <w:rPr>
              <w:rFonts w:hint="eastAsia" w:ascii="Times New Roman" w:hAnsi="Times New Roman" w:eastAsia="方正小标宋_GBK" w:cs="Times New Roman"/>
              <w:kern w:val="2"/>
              <w:sz w:val="24"/>
              <w:szCs w:val="24"/>
              <w:lang w:val="en-US" w:eastAsia="zh-CN" w:bidi="ar-SA"/>
            </w:rPr>
            <w:fldChar w:fldCharType="separate"/>
          </w:r>
          <w:r>
            <w:rPr>
              <w:rFonts w:hint="eastAsia" w:ascii="Times New Roman" w:hAnsi="Times New Roman" w:eastAsia="黑体" w:cs="Times New Roman"/>
              <w:bCs/>
              <w:kern w:val="2"/>
              <w:sz w:val="24"/>
              <w:szCs w:val="24"/>
              <w:highlight w:val="none"/>
              <w:lang w:val="en-US" w:eastAsia="zh-CN" w:bidi="ar-SA"/>
            </w:rPr>
            <w:t>第四节发展目标</w:t>
          </w:r>
          <w:r>
            <w:rPr>
              <w:sz w:val="24"/>
              <w:szCs w:val="24"/>
            </w:rPr>
            <w:tab/>
          </w:r>
          <w:r>
            <w:rPr>
              <w:sz w:val="24"/>
              <w:szCs w:val="24"/>
            </w:rPr>
            <w:fldChar w:fldCharType="begin"/>
          </w:r>
          <w:r>
            <w:rPr>
              <w:sz w:val="24"/>
              <w:szCs w:val="24"/>
            </w:rPr>
            <w:instrText xml:space="preserve"> PAGEREF _Toc32541 \h </w:instrText>
          </w:r>
          <w:r>
            <w:rPr>
              <w:sz w:val="24"/>
              <w:szCs w:val="24"/>
            </w:rPr>
            <w:fldChar w:fldCharType="separate"/>
          </w:r>
          <w:r>
            <w:rPr>
              <w:sz w:val="24"/>
              <w:szCs w:val="24"/>
            </w:rPr>
            <w:t>- 25 -</w:t>
          </w:r>
          <w:r>
            <w:rPr>
              <w:sz w:val="24"/>
              <w:szCs w:val="24"/>
            </w:rPr>
            <w:fldChar w:fldCharType="end"/>
          </w:r>
          <w:r>
            <w:rPr>
              <w:rFonts w:hint="eastAsia" w:ascii="Times New Roman" w:hAnsi="Times New Roman" w:eastAsia="方正小标宋_GBK" w:cs="Times New Roman"/>
              <w:color w:val="auto"/>
              <w:kern w:val="2"/>
              <w:sz w:val="24"/>
              <w:szCs w:val="24"/>
              <w:u w:val="none"/>
              <w:lang w:val="en-US" w:eastAsia="zh-CN" w:bidi="ar-SA"/>
            </w:rPr>
            <w:fldChar w:fldCharType="end"/>
          </w:r>
        </w:p>
        <w:p w14:paraId="6C9F89C3">
          <w:pPr>
            <w:pStyle w:val="11"/>
            <w:tabs>
              <w:tab w:val="right" w:leader="dot" w:pos="9026"/>
            </w:tabs>
            <w:spacing w:line="360" w:lineRule="auto"/>
            <w:rPr>
              <w:sz w:val="24"/>
              <w:szCs w:val="24"/>
            </w:rPr>
          </w:pPr>
          <w:r>
            <w:rPr>
              <w:rFonts w:hint="eastAsia" w:ascii="Times New Roman" w:hAnsi="Times New Roman" w:eastAsia="方正小标宋_GBK" w:cs="Times New Roman"/>
              <w:color w:val="auto"/>
              <w:kern w:val="2"/>
              <w:sz w:val="24"/>
              <w:szCs w:val="24"/>
              <w:u w:val="none"/>
              <w:lang w:val="en-US" w:eastAsia="zh-CN" w:bidi="ar-SA"/>
            </w:rPr>
            <w:fldChar w:fldCharType="begin"/>
          </w:r>
          <w:r>
            <w:rPr>
              <w:rFonts w:hint="eastAsia" w:ascii="Times New Roman" w:hAnsi="Times New Roman" w:eastAsia="方正小标宋_GBK" w:cs="Times New Roman"/>
              <w:kern w:val="2"/>
              <w:sz w:val="24"/>
              <w:szCs w:val="24"/>
              <w:lang w:val="en-US" w:eastAsia="zh-CN" w:bidi="ar-SA"/>
            </w:rPr>
            <w:instrText xml:space="preserve"> HYPERLINK \l _Toc27830 </w:instrText>
          </w:r>
          <w:r>
            <w:rPr>
              <w:rFonts w:hint="eastAsia" w:ascii="Times New Roman" w:hAnsi="Times New Roman" w:eastAsia="方正小标宋_GBK" w:cs="Times New Roman"/>
              <w:kern w:val="2"/>
              <w:sz w:val="24"/>
              <w:szCs w:val="24"/>
              <w:lang w:val="en-US" w:eastAsia="zh-CN" w:bidi="ar-SA"/>
            </w:rPr>
            <w:fldChar w:fldCharType="separate"/>
          </w:r>
          <w:r>
            <w:rPr>
              <w:rFonts w:hint="eastAsia" w:ascii="Times New Roman" w:hAnsi="Times New Roman" w:eastAsia="黑体" w:cs="Times New Roman"/>
              <w:bCs/>
              <w:kern w:val="2"/>
              <w:sz w:val="24"/>
              <w:szCs w:val="24"/>
              <w:highlight w:val="none"/>
              <w:lang w:val="en-US" w:eastAsia="zh-CN" w:bidi="ar-SA"/>
            </w:rPr>
            <w:t>第五节发展路径及战略</w:t>
          </w:r>
          <w:r>
            <w:rPr>
              <w:sz w:val="24"/>
              <w:szCs w:val="24"/>
            </w:rPr>
            <w:tab/>
          </w:r>
          <w:r>
            <w:rPr>
              <w:sz w:val="24"/>
              <w:szCs w:val="24"/>
            </w:rPr>
            <w:fldChar w:fldCharType="begin"/>
          </w:r>
          <w:r>
            <w:rPr>
              <w:sz w:val="24"/>
              <w:szCs w:val="24"/>
            </w:rPr>
            <w:instrText xml:space="preserve"> PAGEREF _Toc27830 \h </w:instrText>
          </w:r>
          <w:r>
            <w:rPr>
              <w:sz w:val="24"/>
              <w:szCs w:val="24"/>
            </w:rPr>
            <w:fldChar w:fldCharType="separate"/>
          </w:r>
          <w:r>
            <w:rPr>
              <w:sz w:val="24"/>
              <w:szCs w:val="24"/>
            </w:rPr>
            <w:t>- 30 -</w:t>
          </w:r>
          <w:r>
            <w:rPr>
              <w:sz w:val="24"/>
              <w:szCs w:val="24"/>
            </w:rPr>
            <w:fldChar w:fldCharType="end"/>
          </w:r>
          <w:r>
            <w:rPr>
              <w:rFonts w:hint="eastAsia" w:ascii="Times New Roman" w:hAnsi="Times New Roman" w:eastAsia="方正小标宋_GBK" w:cs="Times New Roman"/>
              <w:color w:val="auto"/>
              <w:kern w:val="2"/>
              <w:sz w:val="24"/>
              <w:szCs w:val="24"/>
              <w:u w:val="none"/>
              <w:lang w:val="en-US" w:eastAsia="zh-CN" w:bidi="ar-SA"/>
            </w:rPr>
            <w:fldChar w:fldCharType="end"/>
          </w:r>
        </w:p>
        <w:p w14:paraId="4ECB1D44">
          <w:pPr>
            <w:pStyle w:val="14"/>
            <w:tabs>
              <w:tab w:val="right" w:leader="dot" w:pos="9026"/>
            </w:tabs>
            <w:spacing w:line="360" w:lineRule="auto"/>
            <w:rPr>
              <w:sz w:val="24"/>
              <w:szCs w:val="24"/>
            </w:rPr>
          </w:pPr>
          <w:r>
            <w:rPr>
              <w:rFonts w:hint="eastAsia" w:ascii="Times New Roman" w:hAnsi="Times New Roman" w:eastAsia="方正小标宋_GBK" w:cs="Times New Roman"/>
              <w:color w:val="auto"/>
              <w:kern w:val="2"/>
              <w:sz w:val="24"/>
              <w:szCs w:val="24"/>
              <w:u w:val="none"/>
              <w:lang w:val="en-US" w:eastAsia="zh-CN" w:bidi="ar-SA"/>
            </w:rPr>
            <w:fldChar w:fldCharType="begin"/>
          </w:r>
          <w:r>
            <w:rPr>
              <w:rFonts w:hint="eastAsia" w:ascii="Times New Roman" w:hAnsi="Times New Roman" w:eastAsia="方正小标宋_GBK" w:cs="Times New Roman"/>
              <w:kern w:val="2"/>
              <w:sz w:val="24"/>
              <w:szCs w:val="24"/>
              <w:lang w:val="en-US" w:eastAsia="zh-CN" w:bidi="ar-SA"/>
            </w:rPr>
            <w:instrText xml:space="preserve"> HYPERLINK \l _Toc15725 </w:instrText>
          </w:r>
          <w:r>
            <w:rPr>
              <w:rFonts w:hint="eastAsia" w:ascii="Times New Roman" w:hAnsi="Times New Roman" w:eastAsia="方正小标宋_GBK" w:cs="Times New Roman"/>
              <w:kern w:val="2"/>
              <w:sz w:val="24"/>
              <w:szCs w:val="24"/>
              <w:lang w:val="en-US" w:eastAsia="zh-CN" w:bidi="ar-SA"/>
            </w:rPr>
            <w:fldChar w:fldCharType="separate"/>
          </w:r>
          <w:r>
            <w:rPr>
              <w:rFonts w:hint="default" w:ascii="Times New Roman" w:hAnsi="Times New Roman" w:eastAsia="方正小标宋_GBK" w:cs="Times New Roman"/>
              <w:kern w:val="2"/>
              <w:sz w:val="24"/>
              <w:szCs w:val="24"/>
              <w:highlight w:val="none"/>
            </w:rPr>
            <w:t>第</w:t>
          </w:r>
          <w:r>
            <w:rPr>
              <w:rFonts w:hint="eastAsia" w:ascii="Times New Roman" w:hAnsi="Times New Roman" w:eastAsia="方正小标宋_GBK" w:cs="Times New Roman"/>
              <w:kern w:val="2"/>
              <w:sz w:val="24"/>
              <w:szCs w:val="24"/>
              <w:highlight w:val="none"/>
              <w:lang w:val="en-US" w:eastAsia="zh-CN"/>
            </w:rPr>
            <w:t>三</w:t>
          </w:r>
          <w:r>
            <w:rPr>
              <w:rFonts w:hint="default" w:ascii="Times New Roman" w:hAnsi="Times New Roman" w:eastAsia="方正小标宋_GBK" w:cs="Times New Roman"/>
              <w:kern w:val="2"/>
              <w:sz w:val="24"/>
              <w:szCs w:val="24"/>
              <w:highlight w:val="none"/>
            </w:rPr>
            <w:t>篇：</w:t>
          </w:r>
          <w:r>
            <w:rPr>
              <w:rFonts w:hint="eastAsia" w:ascii="Times New Roman" w:hAnsi="Times New Roman" w:eastAsia="方正小标宋_GBK" w:cs="Times New Roman"/>
              <w:kern w:val="2"/>
              <w:sz w:val="24"/>
              <w:szCs w:val="24"/>
              <w:highlight w:val="none"/>
              <w:lang w:val="en-US" w:eastAsia="zh-CN"/>
            </w:rPr>
            <w:t>奋进</w:t>
          </w:r>
          <w:r>
            <w:rPr>
              <w:rFonts w:hint="default" w:ascii="Times New Roman" w:hAnsi="Times New Roman" w:eastAsia="方正小标宋_GBK" w:cs="Times New Roman"/>
              <w:kern w:val="2"/>
              <w:sz w:val="24"/>
              <w:szCs w:val="24"/>
              <w:highlight w:val="none"/>
            </w:rPr>
            <w:t>“十五五”——</w:t>
          </w:r>
          <w:r>
            <w:rPr>
              <w:rFonts w:hint="eastAsia" w:ascii="Times New Roman" w:hAnsi="Times New Roman" w:eastAsia="方正小标宋_GBK" w:cs="Times New Roman"/>
              <w:kern w:val="2"/>
              <w:sz w:val="24"/>
              <w:szCs w:val="24"/>
              <w:highlight w:val="none"/>
              <w:lang w:val="en-US" w:eastAsia="zh-CN"/>
            </w:rPr>
            <w:t>落实六大板块任务谋</w:t>
          </w:r>
          <w:r>
            <w:rPr>
              <w:rFonts w:hint="default" w:ascii="Times New Roman" w:hAnsi="Times New Roman" w:eastAsia="方正小标宋_GBK" w:cs="Times New Roman"/>
              <w:kern w:val="2"/>
              <w:sz w:val="24"/>
              <w:szCs w:val="24"/>
              <w:highlight w:val="none"/>
            </w:rPr>
            <w:t>发展</w:t>
          </w:r>
          <w:r>
            <w:rPr>
              <w:sz w:val="24"/>
              <w:szCs w:val="24"/>
            </w:rPr>
            <w:tab/>
          </w:r>
          <w:r>
            <w:rPr>
              <w:sz w:val="24"/>
              <w:szCs w:val="24"/>
            </w:rPr>
            <w:fldChar w:fldCharType="begin"/>
          </w:r>
          <w:r>
            <w:rPr>
              <w:sz w:val="24"/>
              <w:szCs w:val="24"/>
            </w:rPr>
            <w:instrText xml:space="preserve"> PAGEREF _Toc15725 \h </w:instrText>
          </w:r>
          <w:r>
            <w:rPr>
              <w:sz w:val="24"/>
              <w:szCs w:val="24"/>
            </w:rPr>
            <w:fldChar w:fldCharType="separate"/>
          </w:r>
          <w:r>
            <w:rPr>
              <w:sz w:val="24"/>
              <w:szCs w:val="24"/>
            </w:rPr>
            <w:t>- 33 -</w:t>
          </w:r>
          <w:r>
            <w:rPr>
              <w:sz w:val="24"/>
              <w:szCs w:val="24"/>
            </w:rPr>
            <w:fldChar w:fldCharType="end"/>
          </w:r>
          <w:r>
            <w:rPr>
              <w:rFonts w:hint="eastAsia" w:ascii="Times New Roman" w:hAnsi="Times New Roman" w:eastAsia="方正小标宋_GBK" w:cs="Times New Roman"/>
              <w:color w:val="auto"/>
              <w:kern w:val="2"/>
              <w:sz w:val="24"/>
              <w:szCs w:val="24"/>
              <w:u w:val="none"/>
              <w:lang w:val="en-US" w:eastAsia="zh-CN" w:bidi="ar-SA"/>
            </w:rPr>
            <w:fldChar w:fldCharType="end"/>
          </w:r>
        </w:p>
        <w:p w14:paraId="193892A8">
          <w:pPr>
            <w:pStyle w:val="14"/>
            <w:tabs>
              <w:tab w:val="right" w:leader="dot" w:pos="9026"/>
            </w:tabs>
            <w:spacing w:line="360" w:lineRule="auto"/>
            <w:rPr>
              <w:sz w:val="24"/>
              <w:szCs w:val="24"/>
            </w:rPr>
          </w:pPr>
          <w:r>
            <w:rPr>
              <w:rFonts w:hint="eastAsia" w:ascii="Times New Roman" w:hAnsi="Times New Roman" w:eastAsia="方正小标宋_GBK" w:cs="Times New Roman"/>
              <w:color w:val="auto"/>
              <w:kern w:val="2"/>
              <w:sz w:val="24"/>
              <w:szCs w:val="24"/>
              <w:u w:val="none"/>
              <w:lang w:val="en-US" w:eastAsia="zh-CN" w:bidi="ar-SA"/>
            </w:rPr>
            <w:fldChar w:fldCharType="begin"/>
          </w:r>
          <w:r>
            <w:rPr>
              <w:rFonts w:hint="eastAsia" w:ascii="Times New Roman" w:hAnsi="Times New Roman" w:eastAsia="方正小标宋_GBK" w:cs="Times New Roman"/>
              <w:kern w:val="2"/>
              <w:sz w:val="24"/>
              <w:szCs w:val="24"/>
              <w:lang w:val="en-US" w:eastAsia="zh-CN" w:bidi="ar-SA"/>
            </w:rPr>
            <w:instrText xml:space="preserve"> HYPERLINK \l _Toc7733 </w:instrText>
          </w:r>
          <w:r>
            <w:rPr>
              <w:rFonts w:hint="eastAsia" w:ascii="Times New Roman" w:hAnsi="Times New Roman" w:eastAsia="方正小标宋_GBK" w:cs="Times New Roman"/>
              <w:kern w:val="2"/>
              <w:sz w:val="24"/>
              <w:szCs w:val="24"/>
              <w:lang w:val="en-US" w:eastAsia="zh-CN" w:bidi="ar-SA"/>
            </w:rPr>
            <w:fldChar w:fldCharType="separate"/>
          </w:r>
          <w:r>
            <w:rPr>
              <w:rFonts w:hint="eastAsia" w:ascii="Times New Roman" w:hAnsi="Times New Roman" w:eastAsia="方正小标宋_GBK" w:cs="Times New Roman"/>
              <w:kern w:val="2"/>
              <w:sz w:val="24"/>
              <w:szCs w:val="24"/>
              <w:highlight w:val="none"/>
              <w:lang w:val="en-US" w:eastAsia="zh-CN" w:bidi="ar-SA"/>
            </w:rPr>
            <w:t>板块一：产业发展</w:t>
          </w:r>
          <w:r>
            <w:rPr>
              <w:sz w:val="24"/>
              <w:szCs w:val="24"/>
            </w:rPr>
            <w:tab/>
          </w:r>
          <w:r>
            <w:rPr>
              <w:sz w:val="24"/>
              <w:szCs w:val="24"/>
            </w:rPr>
            <w:fldChar w:fldCharType="begin"/>
          </w:r>
          <w:r>
            <w:rPr>
              <w:sz w:val="24"/>
              <w:szCs w:val="24"/>
            </w:rPr>
            <w:instrText xml:space="preserve"> PAGEREF _Toc7733 \h </w:instrText>
          </w:r>
          <w:r>
            <w:rPr>
              <w:sz w:val="24"/>
              <w:szCs w:val="24"/>
            </w:rPr>
            <w:fldChar w:fldCharType="separate"/>
          </w:r>
          <w:r>
            <w:rPr>
              <w:sz w:val="24"/>
              <w:szCs w:val="24"/>
            </w:rPr>
            <w:t>- 33 -</w:t>
          </w:r>
          <w:r>
            <w:rPr>
              <w:sz w:val="24"/>
              <w:szCs w:val="24"/>
            </w:rPr>
            <w:fldChar w:fldCharType="end"/>
          </w:r>
          <w:r>
            <w:rPr>
              <w:rFonts w:hint="eastAsia" w:ascii="Times New Roman" w:hAnsi="Times New Roman" w:eastAsia="方正小标宋_GBK" w:cs="Times New Roman"/>
              <w:color w:val="auto"/>
              <w:kern w:val="2"/>
              <w:sz w:val="24"/>
              <w:szCs w:val="24"/>
              <w:u w:val="none"/>
              <w:lang w:val="en-US" w:eastAsia="zh-CN" w:bidi="ar-SA"/>
            </w:rPr>
            <w:fldChar w:fldCharType="end"/>
          </w:r>
        </w:p>
        <w:p w14:paraId="0AAD73E7">
          <w:pPr>
            <w:pStyle w:val="16"/>
            <w:tabs>
              <w:tab w:val="right" w:leader="dot" w:pos="9026"/>
            </w:tabs>
            <w:spacing w:line="360" w:lineRule="auto"/>
            <w:rPr>
              <w:sz w:val="24"/>
              <w:szCs w:val="24"/>
            </w:rPr>
          </w:pPr>
          <w:r>
            <w:rPr>
              <w:rFonts w:hint="eastAsia" w:ascii="Times New Roman" w:hAnsi="Times New Roman" w:eastAsia="方正小标宋_GBK" w:cs="Times New Roman"/>
              <w:color w:val="auto"/>
              <w:kern w:val="2"/>
              <w:sz w:val="24"/>
              <w:szCs w:val="24"/>
              <w:u w:val="none"/>
              <w:lang w:val="en-US" w:eastAsia="zh-CN" w:bidi="ar-SA"/>
            </w:rPr>
            <w:fldChar w:fldCharType="begin"/>
          </w:r>
          <w:r>
            <w:rPr>
              <w:rFonts w:hint="eastAsia" w:ascii="Times New Roman" w:hAnsi="Times New Roman" w:eastAsia="方正小标宋_GBK" w:cs="Times New Roman"/>
              <w:kern w:val="2"/>
              <w:sz w:val="24"/>
              <w:szCs w:val="24"/>
              <w:lang w:val="en-US" w:eastAsia="zh-CN" w:bidi="ar-SA"/>
            </w:rPr>
            <w:instrText xml:space="preserve"> HYPERLINK \l _Toc25797 </w:instrText>
          </w:r>
          <w:r>
            <w:rPr>
              <w:rFonts w:hint="eastAsia" w:ascii="Times New Roman" w:hAnsi="Times New Roman" w:eastAsia="方正小标宋_GBK" w:cs="Times New Roman"/>
              <w:kern w:val="2"/>
              <w:sz w:val="24"/>
              <w:szCs w:val="24"/>
              <w:lang w:val="en-US" w:eastAsia="zh-CN" w:bidi="ar-SA"/>
            </w:rPr>
            <w:fldChar w:fldCharType="separate"/>
          </w:r>
          <w:r>
            <w:rPr>
              <w:rFonts w:hint="eastAsia" w:ascii="Times New Roman" w:hAnsi="Times New Roman" w:eastAsia="方正小标宋_GBK" w:cs="Times New Roman"/>
              <w:kern w:val="2"/>
              <w:sz w:val="24"/>
              <w:szCs w:val="24"/>
              <w:highlight w:val="none"/>
              <w:lang w:val="en-US" w:eastAsia="zh-CN" w:bidi="ar-SA"/>
            </w:rPr>
            <w:t>第三章坚持产业兴县，构筑现代化产业体系</w:t>
          </w:r>
          <w:r>
            <w:rPr>
              <w:sz w:val="24"/>
              <w:szCs w:val="24"/>
            </w:rPr>
            <w:tab/>
          </w:r>
          <w:r>
            <w:rPr>
              <w:sz w:val="24"/>
              <w:szCs w:val="24"/>
            </w:rPr>
            <w:fldChar w:fldCharType="begin"/>
          </w:r>
          <w:r>
            <w:rPr>
              <w:sz w:val="24"/>
              <w:szCs w:val="24"/>
            </w:rPr>
            <w:instrText xml:space="preserve"> PAGEREF _Toc25797 \h </w:instrText>
          </w:r>
          <w:r>
            <w:rPr>
              <w:sz w:val="24"/>
              <w:szCs w:val="24"/>
            </w:rPr>
            <w:fldChar w:fldCharType="separate"/>
          </w:r>
          <w:r>
            <w:rPr>
              <w:sz w:val="24"/>
              <w:szCs w:val="24"/>
            </w:rPr>
            <w:t>- 33 -</w:t>
          </w:r>
          <w:r>
            <w:rPr>
              <w:sz w:val="24"/>
              <w:szCs w:val="24"/>
            </w:rPr>
            <w:fldChar w:fldCharType="end"/>
          </w:r>
          <w:r>
            <w:rPr>
              <w:rFonts w:hint="eastAsia" w:ascii="Times New Roman" w:hAnsi="Times New Roman" w:eastAsia="方正小标宋_GBK" w:cs="Times New Roman"/>
              <w:color w:val="auto"/>
              <w:kern w:val="2"/>
              <w:sz w:val="24"/>
              <w:szCs w:val="24"/>
              <w:u w:val="none"/>
              <w:lang w:val="en-US" w:eastAsia="zh-CN" w:bidi="ar-SA"/>
            </w:rPr>
            <w:fldChar w:fldCharType="end"/>
          </w:r>
        </w:p>
        <w:p w14:paraId="11ACCB36">
          <w:pPr>
            <w:pStyle w:val="11"/>
            <w:tabs>
              <w:tab w:val="right" w:leader="dot" w:pos="9026"/>
            </w:tabs>
            <w:spacing w:line="360" w:lineRule="auto"/>
            <w:rPr>
              <w:sz w:val="24"/>
              <w:szCs w:val="24"/>
            </w:rPr>
          </w:pPr>
          <w:r>
            <w:rPr>
              <w:rFonts w:hint="eastAsia" w:ascii="Times New Roman" w:hAnsi="Times New Roman" w:eastAsia="方正小标宋_GBK" w:cs="Times New Roman"/>
              <w:color w:val="auto"/>
              <w:kern w:val="2"/>
              <w:sz w:val="24"/>
              <w:szCs w:val="24"/>
              <w:u w:val="none"/>
              <w:lang w:val="en-US" w:eastAsia="zh-CN" w:bidi="ar-SA"/>
            </w:rPr>
            <w:fldChar w:fldCharType="begin"/>
          </w:r>
          <w:r>
            <w:rPr>
              <w:rFonts w:hint="eastAsia" w:ascii="Times New Roman" w:hAnsi="Times New Roman" w:eastAsia="方正小标宋_GBK" w:cs="Times New Roman"/>
              <w:kern w:val="2"/>
              <w:sz w:val="24"/>
              <w:szCs w:val="24"/>
              <w:lang w:val="en-US" w:eastAsia="zh-CN" w:bidi="ar-SA"/>
            </w:rPr>
            <w:instrText xml:space="preserve"> HYPERLINK \l _Toc29001 </w:instrText>
          </w:r>
          <w:r>
            <w:rPr>
              <w:rFonts w:hint="eastAsia" w:ascii="Times New Roman" w:hAnsi="Times New Roman" w:eastAsia="方正小标宋_GBK" w:cs="Times New Roman"/>
              <w:kern w:val="2"/>
              <w:sz w:val="24"/>
              <w:szCs w:val="24"/>
              <w:lang w:val="en-US" w:eastAsia="zh-CN" w:bidi="ar-SA"/>
            </w:rPr>
            <w:fldChar w:fldCharType="separate"/>
          </w:r>
          <w:r>
            <w:rPr>
              <w:rFonts w:hint="eastAsia" w:ascii="Times New Roman" w:hAnsi="Times New Roman" w:eastAsia="黑体" w:cs="Times New Roman"/>
              <w:bCs/>
              <w:kern w:val="2"/>
              <w:sz w:val="24"/>
              <w:szCs w:val="24"/>
              <w:highlight w:val="none"/>
              <w:lang w:val="en-US" w:eastAsia="zh-CN" w:bidi="ar-SA"/>
            </w:rPr>
            <w:t>第一节构建“一区两园多集群”产业格局</w:t>
          </w:r>
          <w:r>
            <w:rPr>
              <w:sz w:val="24"/>
              <w:szCs w:val="24"/>
            </w:rPr>
            <w:tab/>
          </w:r>
          <w:r>
            <w:rPr>
              <w:sz w:val="24"/>
              <w:szCs w:val="24"/>
            </w:rPr>
            <w:fldChar w:fldCharType="begin"/>
          </w:r>
          <w:r>
            <w:rPr>
              <w:sz w:val="24"/>
              <w:szCs w:val="24"/>
            </w:rPr>
            <w:instrText xml:space="preserve"> PAGEREF _Toc29001 \h </w:instrText>
          </w:r>
          <w:r>
            <w:rPr>
              <w:sz w:val="24"/>
              <w:szCs w:val="24"/>
            </w:rPr>
            <w:fldChar w:fldCharType="separate"/>
          </w:r>
          <w:r>
            <w:rPr>
              <w:sz w:val="24"/>
              <w:szCs w:val="24"/>
            </w:rPr>
            <w:t>- 33 -</w:t>
          </w:r>
          <w:r>
            <w:rPr>
              <w:sz w:val="24"/>
              <w:szCs w:val="24"/>
            </w:rPr>
            <w:fldChar w:fldCharType="end"/>
          </w:r>
          <w:r>
            <w:rPr>
              <w:rFonts w:hint="eastAsia" w:ascii="Times New Roman" w:hAnsi="Times New Roman" w:eastAsia="方正小标宋_GBK" w:cs="Times New Roman"/>
              <w:color w:val="auto"/>
              <w:kern w:val="2"/>
              <w:sz w:val="24"/>
              <w:szCs w:val="24"/>
              <w:u w:val="none"/>
              <w:lang w:val="en-US" w:eastAsia="zh-CN" w:bidi="ar-SA"/>
            </w:rPr>
            <w:fldChar w:fldCharType="end"/>
          </w:r>
        </w:p>
        <w:p w14:paraId="4A13695D">
          <w:pPr>
            <w:pStyle w:val="11"/>
            <w:tabs>
              <w:tab w:val="right" w:leader="dot" w:pos="9026"/>
            </w:tabs>
            <w:spacing w:line="360" w:lineRule="auto"/>
            <w:rPr>
              <w:sz w:val="24"/>
              <w:szCs w:val="24"/>
            </w:rPr>
          </w:pPr>
          <w:r>
            <w:rPr>
              <w:rFonts w:hint="eastAsia" w:ascii="Times New Roman" w:hAnsi="Times New Roman" w:eastAsia="方正小标宋_GBK" w:cs="Times New Roman"/>
              <w:color w:val="auto"/>
              <w:kern w:val="2"/>
              <w:sz w:val="24"/>
              <w:szCs w:val="24"/>
              <w:u w:val="none"/>
              <w:lang w:val="en-US" w:eastAsia="zh-CN" w:bidi="ar-SA"/>
            </w:rPr>
            <w:fldChar w:fldCharType="begin"/>
          </w:r>
          <w:r>
            <w:rPr>
              <w:rFonts w:hint="eastAsia" w:ascii="Times New Roman" w:hAnsi="Times New Roman" w:eastAsia="方正小标宋_GBK" w:cs="Times New Roman"/>
              <w:kern w:val="2"/>
              <w:sz w:val="24"/>
              <w:szCs w:val="24"/>
              <w:lang w:val="en-US" w:eastAsia="zh-CN" w:bidi="ar-SA"/>
            </w:rPr>
            <w:instrText xml:space="preserve"> HYPERLINK \l _Toc6743 </w:instrText>
          </w:r>
          <w:r>
            <w:rPr>
              <w:rFonts w:hint="eastAsia" w:ascii="Times New Roman" w:hAnsi="Times New Roman" w:eastAsia="方正小标宋_GBK" w:cs="Times New Roman"/>
              <w:kern w:val="2"/>
              <w:sz w:val="24"/>
              <w:szCs w:val="24"/>
              <w:lang w:val="en-US" w:eastAsia="zh-CN" w:bidi="ar-SA"/>
            </w:rPr>
            <w:fldChar w:fldCharType="separate"/>
          </w:r>
          <w:r>
            <w:rPr>
              <w:rFonts w:hint="eastAsia" w:ascii="Times New Roman" w:hAnsi="Times New Roman" w:eastAsia="黑体" w:cs="Times New Roman"/>
              <w:bCs/>
              <w:kern w:val="2"/>
              <w:sz w:val="24"/>
              <w:szCs w:val="24"/>
              <w:highlight w:val="none"/>
              <w:lang w:val="en-US" w:eastAsia="zh-CN" w:bidi="ar-SA"/>
            </w:rPr>
            <w:t>第二节构建“3+4+N”产业体系</w:t>
          </w:r>
          <w:r>
            <w:rPr>
              <w:sz w:val="24"/>
              <w:szCs w:val="24"/>
            </w:rPr>
            <w:tab/>
          </w:r>
          <w:r>
            <w:rPr>
              <w:sz w:val="24"/>
              <w:szCs w:val="24"/>
            </w:rPr>
            <w:fldChar w:fldCharType="begin"/>
          </w:r>
          <w:r>
            <w:rPr>
              <w:sz w:val="24"/>
              <w:szCs w:val="24"/>
            </w:rPr>
            <w:instrText xml:space="preserve"> PAGEREF _Toc6743 \h </w:instrText>
          </w:r>
          <w:r>
            <w:rPr>
              <w:sz w:val="24"/>
              <w:szCs w:val="24"/>
            </w:rPr>
            <w:fldChar w:fldCharType="separate"/>
          </w:r>
          <w:r>
            <w:rPr>
              <w:sz w:val="24"/>
              <w:szCs w:val="24"/>
            </w:rPr>
            <w:t>- 36 -</w:t>
          </w:r>
          <w:r>
            <w:rPr>
              <w:sz w:val="24"/>
              <w:szCs w:val="24"/>
            </w:rPr>
            <w:fldChar w:fldCharType="end"/>
          </w:r>
          <w:r>
            <w:rPr>
              <w:rFonts w:hint="eastAsia" w:ascii="Times New Roman" w:hAnsi="Times New Roman" w:eastAsia="方正小标宋_GBK" w:cs="Times New Roman"/>
              <w:color w:val="auto"/>
              <w:kern w:val="2"/>
              <w:sz w:val="24"/>
              <w:szCs w:val="24"/>
              <w:u w:val="none"/>
              <w:lang w:val="en-US" w:eastAsia="zh-CN" w:bidi="ar-SA"/>
            </w:rPr>
            <w:fldChar w:fldCharType="end"/>
          </w:r>
        </w:p>
        <w:p w14:paraId="7BE43E16">
          <w:pPr>
            <w:pStyle w:val="11"/>
            <w:tabs>
              <w:tab w:val="right" w:leader="dot" w:pos="9026"/>
            </w:tabs>
            <w:spacing w:line="360" w:lineRule="auto"/>
            <w:rPr>
              <w:sz w:val="24"/>
              <w:szCs w:val="24"/>
            </w:rPr>
          </w:pPr>
          <w:r>
            <w:rPr>
              <w:rFonts w:hint="eastAsia" w:ascii="Times New Roman" w:hAnsi="Times New Roman" w:eastAsia="方正小标宋_GBK" w:cs="Times New Roman"/>
              <w:color w:val="auto"/>
              <w:kern w:val="2"/>
              <w:sz w:val="24"/>
              <w:szCs w:val="24"/>
              <w:u w:val="none"/>
              <w:lang w:val="en-US" w:eastAsia="zh-CN" w:bidi="ar-SA"/>
            </w:rPr>
            <w:fldChar w:fldCharType="begin"/>
          </w:r>
          <w:r>
            <w:rPr>
              <w:rFonts w:hint="eastAsia" w:ascii="Times New Roman" w:hAnsi="Times New Roman" w:eastAsia="方正小标宋_GBK" w:cs="Times New Roman"/>
              <w:kern w:val="2"/>
              <w:sz w:val="24"/>
              <w:szCs w:val="24"/>
              <w:lang w:val="en-US" w:eastAsia="zh-CN" w:bidi="ar-SA"/>
            </w:rPr>
            <w:instrText xml:space="preserve"> HYPERLINK \l _Toc9678 </w:instrText>
          </w:r>
          <w:r>
            <w:rPr>
              <w:rFonts w:hint="eastAsia" w:ascii="Times New Roman" w:hAnsi="Times New Roman" w:eastAsia="方正小标宋_GBK" w:cs="Times New Roman"/>
              <w:kern w:val="2"/>
              <w:sz w:val="24"/>
              <w:szCs w:val="24"/>
              <w:lang w:val="en-US" w:eastAsia="zh-CN" w:bidi="ar-SA"/>
            </w:rPr>
            <w:fldChar w:fldCharType="separate"/>
          </w:r>
          <w:r>
            <w:rPr>
              <w:rFonts w:hint="eastAsia" w:ascii="Times New Roman" w:hAnsi="Times New Roman" w:eastAsia="黑体" w:cs="Times New Roman"/>
              <w:bCs/>
              <w:kern w:val="2"/>
              <w:sz w:val="24"/>
              <w:szCs w:val="24"/>
              <w:highlight w:val="none"/>
              <w:lang w:val="en-US" w:eastAsia="zh-CN" w:bidi="ar-SA"/>
            </w:rPr>
            <w:t>第三节聚魂文旅融合发展</w:t>
          </w:r>
          <w:r>
            <w:rPr>
              <w:sz w:val="24"/>
              <w:szCs w:val="24"/>
            </w:rPr>
            <w:tab/>
          </w:r>
          <w:r>
            <w:rPr>
              <w:sz w:val="24"/>
              <w:szCs w:val="24"/>
            </w:rPr>
            <w:fldChar w:fldCharType="begin"/>
          </w:r>
          <w:r>
            <w:rPr>
              <w:sz w:val="24"/>
              <w:szCs w:val="24"/>
            </w:rPr>
            <w:instrText xml:space="preserve"> PAGEREF _Toc9678 \h </w:instrText>
          </w:r>
          <w:r>
            <w:rPr>
              <w:sz w:val="24"/>
              <w:szCs w:val="24"/>
            </w:rPr>
            <w:fldChar w:fldCharType="separate"/>
          </w:r>
          <w:r>
            <w:rPr>
              <w:sz w:val="24"/>
              <w:szCs w:val="24"/>
            </w:rPr>
            <w:t>- 45 -</w:t>
          </w:r>
          <w:r>
            <w:rPr>
              <w:sz w:val="24"/>
              <w:szCs w:val="24"/>
            </w:rPr>
            <w:fldChar w:fldCharType="end"/>
          </w:r>
          <w:r>
            <w:rPr>
              <w:rFonts w:hint="eastAsia" w:ascii="Times New Roman" w:hAnsi="Times New Roman" w:eastAsia="方正小标宋_GBK" w:cs="Times New Roman"/>
              <w:color w:val="auto"/>
              <w:kern w:val="2"/>
              <w:sz w:val="24"/>
              <w:szCs w:val="24"/>
              <w:u w:val="none"/>
              <w:lang w:val="en-US" w:eastAsia="zh-CN" w:bidi="ar-SA"/>
            </w:rPr>
            <w:fldChar w:fldCharType="end"/>
          </w:r>
        </w:p>
        <w:p w14:paraId="53B8431D">
          <w:pPr>
            <w:pStyle w:val="11"/>
            <w:tabs>
              <w:tab w:val="right" w:leader="dot" w:pos="9026"/>
            </w:tabs>
            <w:spacing w:line="360" w:lineRule="auto"/>
            <w:rPr>
              <w:sz w:val="24"/>
              <w:szCs w:val="24"/>
            </w:rPr>
          </w:pPr>
          <w:r>
            <w:rPr>
              <w:rFonts w:hint="eastAsia" w:ascii="Times New Roman" w:hAnsi="Times New Roman" w:eastAsia="方正小标宋_GBK" w:cs="Times New Roman"/>
              <w:color w:val="auto"/>
              <w:kern w:val="2"/>
              <w:sz w:val="24"/>
              <w:szCs w:val="24"/>
              <w:u w:val="none"/>
              <w:lang w:val="en-US" w:eastAsia="zh-CN" w:bidi="ar-SA"/>
            </w:rPr>
            <w:fldChar w:fldCharType="begin"/>
          </w:r>
          <w:r>
            <w:rPr>
              <w:rFonts w:hint="eastAsia" w:ascii="Times New Roman" w:hAnsi="Times New Roman" w:eastAsia="方正小标宋_GBK" w:cs="Times New Roman"/>
              <w:kern w:val="2"/>
              <w:sz w:val="24"/>
              <w:szCs w:val="24"/>
              <w:lang w:val="en-US" w:eastAsia="zh-CN" w:bidi="ar-SA"/>
            </w:rPr>
            <w:instrText xml:space="preserve"> HYPERLINK \l _Toc22578 </w:instrText>
          </w:r>
          <w:r>
            <w:rPr>
              <w:rFonts w:hint="eastAsia" w:ascii="Times New Roman" w:hAnsi="Times New Roman" w:eastAsia="方正小标宋_GBK" w:cs="Times New Roman"/>
              <w:kern w:val="2"/>
              <w:sz w:val="24"/>
              <w:szCs w:val="24"/>
              <w:lang w:val="en-US" w:eastAsia="zh-CN" w:bidi="ar-SA"/>
            </w:rPr>
            <w:fldChar w:fldCharType="separate"/>
          </w:r>
          <w:r>
            <w:rPr>
              <w:rFonts w:hint="eastAsia" w:ascii="Times New Roman" w:hAnsi="Times New Roman" w:eastAsia="黑体" w:cs="Times New Roman"/>
              <w:bCs/>
              <w:kern w:val="2"/>
              <w:sz w:val="24"/>
              <w:szCs w:val="24"/>
              <w:highlight w:val="none"/>
              <w:lang w:val="en-US" w:eastAsia="zh-CN" w:bidi="ar-SA"/>
            </w:rPr>
            <w:t>第四节提质增效现代服务</w:t>
          </w:r>
          <w:r>
            <w:rPr>
              <w:sz w:val="24"/>
              <w:szCs w:val="24"/>
            </w:rPr>
            <w:tab/>
          </w:r>
          <w:r>
            <w:rPr>
              <w:sz w:val="24"/>
              <w:szCs w:val="24"/>
            </w:rPr>
            <w:fldChar w:fldCharType="begin"/>
          </w:r>
          <w:r>
            <w:rPr>
              <w:sz w:val="24"/>
              <w:szCs w:val="24"/>
            </w:rPr>
            <w:instrText xml:space="preserve"> PAGEREF _Toc22578 \h </w:instrText>
          </w:r>
          <w:r>
            <w:rPr>
              <w:sz w:val="24"/>
              <w:szCs w:val="24"/>
            </w:rPr>
            <w:fldChar w:fldCharType="separate"/>
          </w:r>
          <w:r>
            <w:rPr>
              <w:sz w:val="24"/>
              <w:szCs w:val="24"/>
            </w:rPr>
            <w:t>- 47 -</w:t>
          </w:r>
          <w:r>
            <w:rPr>
              <w:sz w:val="24"/>
              <w:szCs w:val="24"/>
            </w:rPr>
            <w:fldChar w:fldCharType="end"/>
          </w:r>
          <w:r>
            <w:rPr>
              <w:rFonts w:hint="eastAsia" w:ascii="Times New Roman" w:hAnsi="Times New Roman" w:eastAsia="方正小标宋_GBK" w:cs="Times New Roman"/>
              <w:color w:val="auto"/>
              <w:kern w:val="2"/>
              <w:sz w:val="24"/>
              <w:szCs w:val="24"/>
              <w:u w:val="none"/>
              <w:lang w:val="en-US" w:eastAsia="zh-CN" w:bidi="ar-SA"/>
            </w:rPr>
            <w:fldChar w:fldCharType="end"/>
          </w:r>
        </w:p>
        <w:p w14:paraId="7FB30BEE">
          <w:pPr>
            <w:pStyle w:val="11"/>
            <w:tabs>
              <w:tab w:val="right" w:leader="dot" w:pos="9026"/>
            </w:tabs>
            <w:spacing w:line="360" w:lineRule="auto"/>
            <w:rPr>
              <w:sz w:val="24"/>
              <w:szCs w:val="24"/>
            </w:rPr>
          </w:pPr>
          <w:r>
            <w:rPr>
              <w:rFonts w:hint="eastAsia" w:ascii="Times New Roman" w:hAnsi="Times New Roman" w:eastAsia="方正小标宋_GBK" w:cs="Times New Roman"/>
              <w:color w:val="auto"/>
              <w:kern w:val="2"/>
              <w:sz w:val="24"/>
              <w:szCs w:val="24"/>
              <w:u w:val="none"/>
              <w:lang w:val="en-US" w:eastAsia="zh-CN" w:bidi="ar-SA"/>
            </w:rPr>
            <w:fldChar w:fldCharType="begin"/>
          </w:r>
          <w:r>
            <w:rPr>
              <w:rFonts w:hint="eastAsia" w:ascii="Times New Roman" w:hAnsi="Times New Roman" w:eastAsia="方正小标宋_GBK" w:cs="Times New Roman"/>
              <w:kern w:val="2"/>
              <w:sz w:val="24"/>
              <w:szCs w:val="24"/>
              <w:lang w:val="en-US" w:eastAsia="zh-CN" w:bidi="ar-SA"/>
            </w:rPr>
            <w:instrText xml:space="preserve"> HYPERLINK \l _Toc18587 </w:instrText>
          </w:r>
          <w:r>
            <w:rPr>
              <w:rFonts w:hint="eastAsia" w:ascii="Times New Roman" w:hAnsi="Times New Roman" w:eastAsia="方正小标宋_GBK" w:cs="Times New Roman"/>
              <w:kern w:val="2"/>
              <w:sz w:val="24"/>
              <w:szCs w:val="24"/>
              <w:lang w:val="en-US" w:eastAsia="zh-CN" w:bidi="ar-SA"/>
            </w:rPr>
            <w:fldChar w:fldCharType="separate"/>
          </w:r>
          <w:r>
            <w:rPr>
              <w:rFonts w:hint="eastAsia" w:ascii="Times New Roman" w:hAnsi="Times New Roman" w:eastAsia="黑体" w:cs="Times New Roman"/>
              <w:bCs/>
              <w:kern w:val="2"/>
              <w:sz w:val="24"/>
              <w:szCs w:val="24"/>
              <w:highlight w:val="none"/>
              <w:lang w:val="en-US" w:eastAsia="zh-CN" w:bidi="ar-SA"/>
            </w:rPr>
            <w:t>第五节提升产业支撑能力</w:t>
          </w:r>
          <w:r>
            <w:rPr>
              <w:sz w:val="24"/>
              <w:szCs w:val="24"/>
            </w:rPr>
            <w:tab/>
          </w:r>
          <w:r>
            <w:rPr>
              <w:sz w:val="24"/>
              <w:szCs w:val="24"/>
            </w:rPr>
            <w:fldChar w:fldCharType="begin"/>
          </w:r>
          <w:r>
            <w:rPr>
              <w:sz w:val="24"/>
              <w:szCs w:val="24"/>
            </w:rPr>
            <w:instrText xml:space="preserve"> PAGEREF _Toc18587 \h </w:instrText>
          </w:r>
          <w:r>
            <w:rPr>
              <w:sz w:val="24"/>
              <w:szCs w:val="24"/>
            </w:rPr>
            <w:fldChar w:fldCharType="separate"/>
          </w:r>
          <w:r>
            <w:rPr>
              <w:sz w:val="24"/>
              <w:szCs w:val="24"/>
            </w:rPr>
            <w:t>- 51 -</w:t>
          </w:r>
          <w:r>
            <w:rPr>
              <w:sz w:val="24"/>
              <w:szCs w:val="24"/>
            </w:rPr>
            <w:fldChar w:fldCharType="end"/>
          </w:r>
          <w:r>
            <w:rPr>
              <w:rFonts w:hint="eastAsia" w:ascii="Times New Roman" w:hAnsi="Times New Roman" w:eastAsia="方正小标宋_GBK" w:cs="Times New Roman"/>
              <w:color w:val="auto"/>
              <w:kern w:val="2"/>
              <w:sz w:val="24"/>
              <w:szCs w:val="24"/>
              <w:u w:val="none"/>
              <w:lang w:val="en-US" w:eastAsia="zh-CN" w:bidi="ar-SA"/>
            </w:rPr>
            <w:fldChar w:fldCharType="end"/>
          </w:r>
        </w:p>
        <w:p w14:paraId="32C551C9">
          <w:pPr>
            <w:pStyle w:val="16"/>
            <w:tabs>
              <w:tab w:val="right" w:leader="dot" w:pos="9026"/>
            </w:tabs>
            <w:spacing w:line="360" w:lineRule="auto"/>
            <w:rPr>
              <w:sz w:val="24"/>
              <w:szCs w:val="24"/>
            </w:rPr>
          </w:pPr>
          <w:r>
            <w:rPr>
              <w:rFonts w:hint="eastAsia" w:ascii="Times New Roman" w:hAnsi="Times New Roman" w:eastAsia="方正小标宋_GBK" w:cs="Times New Roman"/>
              <w:color w:val="auto"/>
              <w:kern w:val="2"/>
              <w:sz w:val="24"/>
              <w:szCs w:val="24"/>
              <w:u w:val="none"/>
              <w:lang w:val="en-US" w:eastAsia="zh-CN" w:bidi="ar-SA"/>
            </w:rPr>
            <w:fldChar w:fldCharType="begin"/>
          </w:r>
          <w:r>
            <w:rPr>
              <w:rFonts w:hint="eastAsia" w:ascii="Times New Roman" w:hAnsi="Times New Roman" w:eastAsia="方正小标宋_GBK" w:cs="Times New Roman"/>
              <w:kern w:val="2"/>
              <w:sz w:val="24"/>
              <w:szCs w:val="24"/>
              <w:lang w:val="en-US" w:eastAsia="zh-CN" w:bidi="ar-SA"/>
            </w:rPr>
            <w:instrText xml:space="preserve"> HYPERLINK \l _Toc3792 </w:instrText>
          </w:r>
          <w:r>
            <w:rPr>
              <w:rFonts w:hint="eastAsia" w:ascii="Times New Roman" w:hAnsi="Times New Roman" w:eastAsia="方正小标宋_GBK" w:cs="Times New Roman"/>
              <w:kern w:val="2"/>
              <w:sz w:val="24"/>
              <w:szCs w:val="24"/>
              <w:lang w:val="en-US" w:eastAsia="zh-CN" w:bidi="ar-SA"/>
            </w:rPr>
            <w:fldChar w:fldCharType="separate"/>
          </w:r>
          <w:r>
            <w:rPr>
              <w:rFonts w:hint="eastAsia" w:ascii="Times New Roman" w:hAnsi="Times New Roman" w:eastAsia="方正小标宋_GBK" w:cs="Times New Roman"/>
              <w:bCs w:val="0"/>
              <w:kern w:val="2"/>
              <w:sz w:val="24"/>
              <w:szCs w:val="24"/>
              <w:highlight w:val="none"/>
              <w:lang w:val="en-US" w:eastAsia="zh-CN" w:bidi="ar-SA"/>
            </w:rPr>
            <w:t>第四章</w:t>
          </w:r>
          <w:r>
            <w:rPr>
              <w:rFonts w:hint="eastAsia" w:ascii="Times New Roman" w:hAnsi="Times New Roman" w:eastAsia="方正小标宋_GBK" w:cs="Times New Roman"/>
              <w:kern w:val="2"/>
              <w:sz w:val="24"/>
              <w:szCs w:val="24"/>
              <w:highlight w:val="none"/>
              <w:lang w:val="en-US" w:eastAsia="zh-CN" w:bidi="ar-SA"/>
            </w:rPr>
            <w:t>强化创新驱动，打造产业升级新引擎</w:t>
          </w:r>
          <w:r>
            <w:rPr>
              <w:sz w:val="24"/>
              <w:szCs w:val="24"/>
            </w:rPr>
            <w:tab/>
          </w:r>
          <w:r>
            <w:rPr>
              <w:sz w:val="24"/>
              <w:szCs w:val="24"/>
            </w:rPr>
            <w:fldChar w:fldCharType="begin"/>
          </w:r>
          <w:r>
            <w:rPr>
              <w:sz w:val="24"/>
              <w:szCs w:val="24"/>
            </w:rPr>
            <w:instrText xml:space="preserve"> PAGEREF _Toc3792 \h </w:instrText>
          </w:r>
          <w:r>
            <w:rPr>
              <w:sz w:val="24"/>
              <w:szCs w:val="24"/>
            </w:rPr>
            <w:fldChar w:fldCharType="separate"/>
          </w:r>
          <w:r>
            <w:rPr>
              <w:sz w:val="24"/>
              <w:szCs w:val="24"/>
            </w:rPr>
            <w:t>- 54 -</w:t>
          </w:r>
          <w:r>
            <w:rPr>
              <w:sz w:val="24"/>
              <w:szCs w:val="24"/>
            </w:rPr>
            <w:fldChar w:fldCharType="end"/>
          </w:r>
          <w:r>
            <w:rPr>
              <w:rFonts w:hint="eastAsia" w:ascii="Times New Roman" w:hAnsi="Times New Roman" w:eastAsia="方正小标宋_GBK" w:cs="Times New Roman"/>
              <w:color w:val="auto"/>
              <w:kern w:val="2"/>
              <w:sz w:val="24"/>
              <w:szCs w:val="24"/>
              <w:u w:val="none"/>
              <w:lang w:val="en-US" w:eastAsia="zh-CN" w:bidi="ar-SA"/>
            </w:rPr>
            <w:fldChar w:fldCharType="end"/>
          </w:r>
        </w:p>
        <w:p w14:paraId="5802FA49">
          <w:pPr>
            <w:pStyle w:val="11"/>
            <w:tabs>
              <w:tab w:val="right" w:leader="dot" w:pos="9026"/>
            </w:tabs>
            <w:spacing w:line="360" w:lineRule="auto"/>
            <w:rPr>
              <w:sz w:val="24"/>
              <w:szCs w:val="24"/>
            </w:rPr>
          </w:pPr>
          <w:r>
            <w:rPr>
              <w:rFonts w:hint="eastAsia" w:ascii="Times New Roman" w:hAnsi="Times New Roman" w:eastAsia="方正小标宋_GBK" w:cs="Times New Roman"/>
              <w:color w:val="auto"/>
              <w:kern w:val="2"/>
              <w:sz w:val="24"/>
              <w:szCs w:val="24"/>
              <w:u w:val="none"/>
              <w:lang w:val="en-US" w:eastAsia="zh-CN" w:bidi="ar-SA"/>
            </w:rPr>
            <w:fldChar w:fldCharType="begin"/>
          </w:r>
          <w:r>
            <w:rPr>
              <w:rFonts w:hint="eastAsia" w:ascii="Times New Roman" w:hAnsi="Times New Roman" w:eastAsia="方正小标宋_GBK" w:cs="Times New Roman"/>
              <w:kern w:val="2"/>
              <w:sz w:val="24"/>
              <w:szCs w:val="24"/>
              <w:lang w:val="en-US" w:eastAsia="zh-CN" w:bidi="ar-SA"/>
            </w:rPr>
            <w:instrText xml:space="preserve"> HYPERLINK \l _Toc11093 </w:instrText>
          </w:r>
          <w:r>
            <w:rPr>
              <w:rFonts w:hint="eastAsia" w:ascii="Times New Roman" w:hAnsi="Times New Roman" w:eastAsia="方正小标宋_GBK" w:cs="Times New Roman"/>
              <w:kern w:val="2"/>
              <w:sz w:val="24"/>
              <w:szCs w:val="24"/>
              <w:lang w:val="en-US" w:eastAsia="zh-CN" w:bidi="ar-SA"/>
            </w:rPr>
            <w:fldChar w:fldCharType="separate"/>
          </w:r>
          <w:r>
            <w:rPr>
              <w:rFonts w:hint="eastAsia" w:ascii="Times New Roman" w:hAnsi="Times New Roman" w:eastAsia="黑体" w:cs="Times New Roman"/>
              <w:bCs/>
              <w:kern w:val="2"/>
              <w:sz w:val="24"/>
              <w:szCs w:val="24"/>
              <w:highlight w:val="none"/>
              <w:lang w:val="en-US" w:eastAsia="zh-CN" w:bidi="ar-SA"/>
            </w:rPr>
            <w:t>第一节高水准育强创新主体，夯实产业创新根基</w:t>
          </w:r>
          <w:r>
            <w:rPr>
              <w:sz w:val="24"/>
              <w:szCs w:val="24"/>
            </w:rPr>
            <w:tab/>
          </w:r>
          <w:r>
            <w:rPr>
              <w:sz w:val="24"/>
              <w:szCs w:val="24"/>
            </w:rPr>
            <w:fldChar w:fldCharType="begin"/>
          </w:r>
          <w:r>
            <w:rPr>
              <w:sz w:val="24"/>
              <w:szCs w:val="24"/>
            </w:rPr>
            <w:instrText xml:space="preserve"> PAGEREF _Toc11093 \h </w:instrText>
          </w:r>
          <w:r>
            <w:rPr>
              <w:sz w:val="24"/>
              <w:szCs w:val="24"/>
            </w:rPr>
            <w:fldChar w:fldCharType="separate"/>
          </w:r>
          <w:r>
            <w:rPr>
              <w:sz w:val="24"/>
              <w:szCs w:val="24"/>
            </w:rPr>
            <w:t>- 54 -</w:t>
          </w:r>
          <w:r>
            <w:rPr>
              <w:sz w:val="24"/>
              <w:szCs w:val="24"/>
            </w:rPr>
            <w:fldChar w:fldCharType="end"/>
          </w:r>
          <w:r>
            <w:rPr>
              <w:rFonts w:hint="eastAsia" w:ascii="Times New Roman" w:hAnsi="Times New Roman" w:eastAsia="方正小标宋_GBK" w:cs="Times New Roman"/>
              <w:color w:val="auto"/>
              <w:kern w:val="2"/>
              <w:sz w:val="24"/>
              <w:szCs w:val="24"/>
              <w:u w:val="none"/>
              <w:lang w:val="en-US" w:eastAsia="zh-CN" w:bidi="ar-SA"/>
            </w:rPr>
            <w:fldChar w:fldCharType="end"/>
          </w:r>
        </w:p>
        <w:p w14:paraId="4B2E0596">
          <w:pPr>
            <w:pStyle w:val="11"/>
            <w:tabs>
              <w:tab w:val="right" w:leader="dot" w:pos="9026"/>
            </w:tabs>
            <w:spacing w:line="360" w:lineRule="auto"/>
            <w:rPr>
              <w:sz w:val="24"/>
              <w:szCs w:val="24"/>
            </w:rPr>
          </w:pPr>
          <w:r>
            <w:rPr>
              <w:rFonts w:hint="eastAsia" w:ascii="Times New Roman" w:hAnsi="Times New Roman" w:eastAsia="方正小标宋_GBK" w:cs="Times New Roman"/>
              <w:color w:val="auto"/>
              <w:kern w:val="2"/>
              <w:sz w:val="24"/>
              <w:szCs w:val="24"/>
              <w:u w:val="none"/>
              <w:lang w:val="en-US" w:eastAsia="zh-CN" w:bidi="ar-SA"/>
            </w:rPr>
            <w:fldChar w:fldCharType="begin"/>
          </w:r>
          <w:r>
            <w:rPr>
              <w:rFonts w:hint="eastAsia" w:ascii="Times New Roman" w:hAnsi="Times New Roman" w:eastAsia="方正小标宋_GBK" w:cs="Times New Roman"/>
              <w:kern w:val="2"/>
              <w:sz w:val="24"/>
              <w:szCs w:val="24"/>
              <w:lang w:val="en-US" w:eastAsia="zh-CN" w:bidi="ar-SA"/>
            </w:rPr>
            <w:instrText xml:space="preserve"> HYPERLINK \l _Toc10251 </w:instrText>
          </w:r>
          <w:r>
            <w:rPr>
              <w:rFonts w:hint="eastAsia" w:ascii="Times New Roman" w:hAnsi="Times New Roman" w:eastAsia="方正小标宋_GBK" w:cs="Times New Roman"/>
              <w:kern w:val="2"/>
              <w:sz w:val="24"/>
              <w:szCs w:val="24"/>
              <w:lang w:val="en-US" w:eastAsia="zh-CN" w:bidi="ar-SA"/>
            </w:rPr>
            <w:fldChar w:fldCharType="separate"/>
          </w:r>
          <w:r>
            <w:rPr>
              <w:rFonts w:hint="eastAsia" w:ascii="Times New Roman" w:hAnsi="Times New Roman" w:eastAsia="黑体" w:cs="Times New Roman"/>
              <w:bCs/>
              <w:kern w:val="2"/>
              <w:sz w:val="24"/>
              <w:szCs w:val="24"/>
              <w:highlight w:val="none"/>
              <w:lang w:val="en-US" w:eastAsia="zh-CN" w:bidi="ar-SA"/>
            </w:rPr>
            <w:t>第二节高标准建设科创载体，强化平台支撑能力</w:t>
          </w:r>
          <w:r>
            <w:rPr>
              <w:sz w:val="24"/>
              <w:szCs w:val="24"/>
            </w:rPr>
            <w:tab/>
          </w:r>
          <w:r>
            <w:rPr>
              <w:sz w:val="24"/>
              <w:szCs w:val="24"/>
            </w:rPr>
            <w:fldChar w:fldCharType="begin"/>
          </w:r>
          <w:r>
            <w:rPr>
              <w:sz w:val="24"/>
              <w:szCs w:val="24"/>
            </w:rPr>
            <w:instrText xml:space="preserve"> PAGEREF _Toc10251 \h </w:instrText>
          </w:r>
          <w:r>
            <w:rPr>
              <w:sz w:val="24"/>
              <w:szCs w:val="24"/>
            </w:rPr>
            <w:fldChar w:fldCharType="separate"/>
          </w:r>
          <w:r>
            <w:rPr>
              <w:sz w:val="24"/>
              <w:szCs w:val="24"/>
            </w:rPr>
            <w:t>- 55 -</w:t>
          </w:r>
          <w:r>
            <w:rPr>
              <w:sz w:val="24"/>
              <w:szCs w:val="24"/>
            </w:rPr>
            <w:fldChar w:fldCharType="end"/>
          </w:r>
          <w:r>
            <w:rPr>
              <w:rFonts w:hint="eastAsia" w:ascii="Times New Roman" w:hAnsi="Times New Roman" w:eastAsia="方正小标宋_GBK" w:cs="Times New Roman"/>
              <w:color w:val="auto"/>
              <w:kern w:val="2"/>
              <w:sz w:val="24"/>
              <w:szCs w:val="24"/>
              <w:u w:val="none"/>
              <w:lang w:val="en-US" w:eastAsia="zh-CN" w:bidi="ar-SA"/>
            </w:rPr>
            <w:fldChar w:fldCharType="end"/>
          </w:r>
        </w:p>
        <w:p w14:paraId="37BCE1A9">
          <w:pPr>
            <w:pStyle w:val="11"/>
            <w:tabs>
              <w:tab w:val="right" w:leader="dot" w:pos="9026"/>
            </w:tabs>
            <w:spacing w:line="360" w:lineRule="auto"/>
            <w:rPr>
              <w:sz w:val="24"/>
              <w:szCs w:val="24"/>
            </w:rPr>
          </w:pPr>
          <w:r>
            <w:rPr>
              <w:rFonts w:hint="eastAsia" w:ascii="Times New Roman" w:hAnsi="Times New Roman" w:eastAsia="方正小标宋_GBK" w:cs="Times New Roman"/>
              <w:color w:val="auto"/>
              <w:kern w:val="2"/>
              <w:sz w:val="24"/>
              <w:szCs w:val="24"/>
              <w:u w:val="none"/>
              <w:lang w:val="en-US" w:eastAsia="zh-CN" w:bidi="ar-SA"/>
            </w:rPr>
            <w:fldChar w:fldCharType="begin"/>
          </w:r>
          <w:r>
            <w:rPr>
              <w:rFonts w:hint="eastAsia" w:ascii="Times New Roman" w:hAnsi="Times New Roman" w:eastAsia="方正小标宋_GBK" w:cs="Times New Roman"/>
              <w:kern w:val="2"/>
              <w:sz w:val="24"/>
              <w:szCs w:val="24"/>
              <w:lang w:val="en-US" w:eastAsia="zh-CN" w:bidi="ar-SA"/>
            </w:rPr>
            <w:instrText xml:space="preserve"> HYPERLINK \l _Toc7181 </w:instrText>
          </w:r>
          <w:r>
            <w:rPr>
              <w:rFonts w:hint="eastAsia" w:ascii="Times New Roman" w:hAnsi="Times New Roman" w:eastAsia="方正小标宋_GBK" w:cs="Times New Roman"/>
              <w:kern w:val="2"/>
              <w:sz w:val="24"/>
              <w:szCs w:val="24"/>
              <w:lang w:val="en-US" w:eastAsia="zh-CN" w:bidi="ar-SA"/>
            </w:rPr>
            <w:fldChar w:fldCharType="separate"/>
          </w:r>
          <w:r>
            <w:rPr>
              <w:rFonts w:hint="eastAsia" w:ascii="Times New Roman" w:hAnsi="Times New Roman" w:eastAsia="黑体" w:cs="Times New Roman"/>
              <w:bCs/>
              <w:kern w:val="2"/>
              <w:sz w:val="24"/>
              <w:szCs w:val="24"/>
              <w:highlight w:val="none"/>
              <w:lang w:val="en-US" w:eastAsia="zh-CN" w:bidi="ar-SA"/>
            </w:rPr>
            <w:t>第三节全方位深化产学研协同，加速成果转化应用</w:t>
          </w:r>
          <w:r>
            <w:rPr>
              <w:sz w:val="24"/>
              <w:szCs w:val="24"/>
            </w:rPr>
            <w:tab/>
          </w:r>
          <w:r>
            <w:rPr>
              <w:sz w:val="24"/>
              <w:szCs w:val="24"/>
            </w:rPr>
            <w:fldChar w:fldCharType="begin"/>
          </w:r>
          <w:r>
            <w:rPr>
              <w:sz w:val="24"/>
              <w:szCs w:val="24"/>
            </w:rPr>
            <w:instrText xml:space="preserve"> PAGEREF _Toc7181 \h </w:instrText>
          </w:r>
          <w:r>
            <w:rPr>
              <w:sz w:val="24"/>
              <w:szCs w:val="24"/>
            </w:rPr>
            <w:fldChar w:fldCharType="separate"/>
          </w:r>
          <w:r>
            <w:rPr>
              <w:sz w:val="24"/>
              <w:szCs w:val="24"/>
            </w:rPr>
            <w:t>- 56 -</w:t>
          </w:r>
          <w:r>
            <w:rPr>
              <w:sz w:val="24"/>
              <w:szCs w:val="24"/>
            </w:rPr>
            <w:fldChar w:fldCharType="end"/>
          </w:r>
          <w:r>
            <w:rPr>
              <w:rFonts w:hint="eastAsia" w:ascii="Times New Roman" w:hAnsi="Times New Roman" w:eastAsia="方正小标宋_GBK" w:cs="Times New Roman"/>
              <w:color w:val="auto"/>
              <w:kern w:val="2"/>
              <w:sz w:val="24"/>
              <w:szCs w:val="24"/>
              <w:u w:val="none"/>
              <w:lang w:val="en-US" w:eastAsia="zh-CN" w:bidi="ar-SA"/>
            </w:rPr>
            <w:fldChar w:fldCharType="end"/>
          </w:r>
        </w:p>
        <w:p w14:paraId="7CA6D452">
          <w:pPr>
            <w:pStyle w:val="11"/>
            <w:tabs>
              <w:tab w:val="right" w:leader="dot" w:pos="9026"/>
            </w:tabs>
            <w:spacing w:line="360" w:lineRule="auto"/>
            <w:rPr>
              <w:sz w:val="24"/>
              <w:szCs w:val="24"/>
            </w:rPr>
          </w:pPr>
          <w:r>
            <w:rPr>
              <w:rFonts w:hint="eastAsia" w:ascii="Times New Roman" w:hAnsi="Times New Roman" w:eastAsia="方正小标宋_GBK" w:cs="Times New Roman"/>
              <w:color w:val="auto"/>
              <w:kern w:val="2"/>
              <w:sz w:val="24"/>
              <w:szCs w:val="24"/>
              <w:u w:val="none"/>
              <w:lang w:val="en-US" w:eastAsia="zh-CN" w:bidi="ar-SA"/>
            </w:rPr>
            <w:fldChar w:fldCharType="begin"/>
          </w:r>
          <w:r>
            <w:rPr>
              <w:rFonts w:hint="eastAsia" w:ascii="Times New Roman" w:hAnsi="Times New Roman" w:eastAsia="方正小标宋_GBK" w:cs="Times New Roman"/>
              <w:kern w:val="2"/>
              <w:sz w:val="24"/>
              <w:szCs w:val="24"/>
              <w:lang w:val="en-US" w:eastAsia="zh-CN" w:bidi="ar-SA"/>
            </w:rPr>
            <w:instrText xml:space="preserve"> HYPERLINK \l _Toc7877 </w:instrText>
          </w:r>
          <w:r>
            <w:rPr>
              <w:rFonts w:hint="eastAsia" w:ascii="Times New Roman" w:hAnsi="Times New Roman" w:eastAsia="方正小标宋_GBK" w:cs="Times New Roman"/>
              <w:kern w:val="2"/>
              <w:sz w:val="24"/>
              <w:szCs w:val="24"/>
              <w:lang w:val="en-US" w:eastAsia="zh-CN" w:bidi="ar-SA"/>
            </w:rPr>
            <w:fldChar w:fldCharType="separate"/>
          </w:r>
          <w:r>
            <w:rPr>
              <w:rFonts w:hint="eastAsia" w:ascii="Times New Roman" w:hAnsi="Times New Roman" w:eastAsia="黑体" w:cs="Times New Roman"/>
              <w:bCs/>
              <w:kern w:val="2"/>
              <w:sz w:val="24"/>
              <w:szCs w:val="24"/>
              <w:highlight w:val="none"/>
              <w:lang w:val="en-US" w:eastAsia="zh-CN" w:bidi="ar-SA"/>
            </w:rPr>
            <w:t>第四节超常规构筑人才高地，强化智力支撑保障</w:t>
          </w:r>
          <w:r>
            <w:rPr>
              <w:sz w:val="24"/>
              <w:szCs w:val="24"/>
            </w:rPr>
            <w:tab/>
          </w:r>
          <w:r>
            <w:rPr>
              <w:sz w:val="24"/>
              <w:szCs w:val="24"/>
            </w:rPr>
            <w:fldChar w:fldCharType="begin"/>
          </w:r>
          <w:r>
            <w:rPr>
              <w:sz w:val="24"/>
              <w:szCs w:val="24"/>
            </w:rPr>
            <w:instrText xml:space="preserve"> PAGEREF _Toc7877 \h </w:instrText>
          </w:r>
          <w:r>
            <w:rPr>
              <w:sz w:val="24"/>
              <w:szCs w:val="24"/>
            </w:rPr>
            <w:fldChar w:fldCharType="separate"/>
          </w:r>
          <w:r>
            <w:rPr>
              <w:sz w:val="24"/>
              <w:szCs w:val="24"/>
            </w:rPr>
            <w:t>- 57 -</w:t>
          </w:r>
          <w:r>
            <w:rPr>
              <w:sz w:val="24"/>
              <w:szCs w:val="24"/>
            </w:rPr>
            <w:fldChar w:fldCharType="end"/>
          </w:r>
          <w:r>
            <w:rPr>
              <w:rFonts w:hint="eastAsia" w:ascii="Times New Roman" w:hAnsi="Times New Roman" w:eastAsia="方正小标宋_GBK" w:cs="Times New Roman"/>
              <w:color w:val="auto"/>
              <w:kern w:val="2"/>
              <w:sz w:val="24"/>
              <w:szCs w:val="24"/>
              <w:u w:val="none"/>
              <w:lang w:val="en-US" w:eastAsia="zh-CN" w:bidi="ar-SA"/>
            </w:rPr>
            <w:fldChar w:fldCharType="end"/>
          </w:r>
        </w:p>
        <w:p w14:paraId="278949BA">
          <w:pPr>
            <w:pStyle w:val="14"/>
            <w:tabs>
              <w:tab w:val="right" w:leader="dot" w:pos="9026"/>
            </w:tabs>
            <w:spacing w:line="360" w:lineRule="auto"/>
            <w:rPr>
              <w:sz w:val="24"/>
              <w:szCs w:val="24"/>
            </w:rPr>
          </w:pPr>
          <w:r>
            <w:rPr>
              <w:rFonts w:hint="eastAsia" w:ascii="Times New Roman" w:hAnsi="Times New Roman" w:eastAsia="方正小标宋_GBK" w:cs="Times New Roman"/>
              <w:color w:val="auto"/>
              <w:kern w:val="2"/>
              <w:sz w:val="24"/>
              <w:szCs w:val="24"/>
              <w:u w:val="none"/>
              <w:lang w:val="en-US" w:eastAsia="zh-CN" w:bidi="ar-SA"/>
            </w:rPr>
            <w:fldChar w:fldCharType="begin"/>
          </w:r>
          <w:r>
            <w:rPr>
              <w:rFonts w:hint="eastAsia" w:ascii="Times New Roman" w:hAnsi="Times New Roman" w:eastAsia="方正小标宋_GBK" w:cs="Times New Roman"/>
              <w:kern w:val="2"/>
              <w:sz w:val="24"/>
              <w:szCs w:val="24"/>
              <w:lang w:val="en-US" w:eastAsia="zh-CN" w:bidi="ar-SA"/>
            </w:rPr>
            <w:instrText xml:space="preserve"> HYPERLINK \l _Toc25296 </w:instrText>
          </w:r>
          <w:r>
            <w:rPr>
              <w:rFonts w:hint="eastAsia" w:ascii="Times New Roman" w:hAnsi="Times New Roman" w:eastAsia="方正小标宋_GBK" w:cs="Times New Roman"/>
              <w:kern w:val="2"/>
              <w:sz w:val="24"/>
              <w:szCs w:val="24"/>
              <w:lang w:val="en-US" w:eastAsia="zh-CN" w:bidi="ar-SA"/>
            </w:rPr>
            <w:fldChar w:fldCharType="separate"/>
          </w:r>
          <w:r>
            <w:rPr>
              <w:rFonts w:hint="eastAsia" w:ascii="Times New Roman" w:hAnsi="Times New Roman" w:eastAsia="方正小标宋_GBK" w:cs="Times New Roman"/>
              <w:kern w:val="2"/>
              <w:sz w:val="24"/>
              <w:szCs w:val="24"/>
              <w:highlight w:val="none"/>
              <w:lang w:val="en-US" w:eastAsia="zh-CN" w:bidi="ar-SA"/>
            </w:rPr>
            <w:t>板块二：农业农村</w:t>
          </w:r>
          <w:r>
            <w:rPr>
              <w:sz w:val="24"/>
              <w:szCs w:val="24"/>
            </w:rPr>
            <w:tab/>
          </w:r>
          <w:r>
            <w:rPr>
              <w:sz w:val="24"/>
              <w:szCs w:val="24"/>
            </w:rPr>
            <w:fldChar w:fldCharType="begin"/>
          </w:r>
          <w:r>
            <w:rPr>
              <w:sz w:val="24"/>
              <w:szCs w:val="24"/>
            </w:rPr>
            <w:instrText xml:space="preserve"> PAGEREF _Toc25296 \h </w:instrText>
          </w:r>
          <w:r>
            <w:rPr>
              <w:sz w:val="24"/>
              <w:szCs w:val="24"/>
            </w:rPr>
            <w:fldChar w:fldCharType="separate"/>
          </w:r>
          <w:r>
            <w:rPr>
              <w:sz w:val="24"/>
              <w:szCs w:val="24"/>
            </w:rPr>
            <w:t>- 58 -</w:t>
          </w:r>
          <w:r>
            <w:rPr>
              <w:sz w:val="24"/>
              <w:szCs w:val="24"/>
            </w:rPr>
            <w:fldChar w:fldCharType="end"/>
          </w:r>
          <w:r>
            <w:rPr>
              <w:rFonts w:hint="eastAsia" w:ascii="Times New Roman" w:hAnsi="Times New Roman" w:eastAsia="方正小标宋_GBK" w:cs="Times New Roman"/>
              <w:color w:val="auto"/>
              <w:kern w:val="2"/>
              <w:sz w:val="24"/>
              <w:szCs w:val="24"/>
              <w:u w:val="none"/>
              <w:lang w:val="en-US" w:eastAsia="zh-CN" w:bidi="ar-SA"/>
            </w:rPr>
            <w:fldChar w:fldCharType="end"/>
          </w:r>
        </w:p>
        <w:p w14:paraId="0EDD32CD">
          <w:pPr>
            <w:pStyle w:val="16"/>
            <w:tabs>
              <w:tab w:val="right" w:leader="dot" w:pos="9026"/>
            </w:tabs>
            <w:spacing w:line="360" w:lineRule="auto"/>
            <w:rPr>
              <w:sz w:val="24"/>
              <w:szCs w:val="24"/>
            </w:rPr>
          </w:pPr>
          <w:r>
            <w:rPr>
              <w:rFonts w:hint="eastAsia" w:ascii="Times New Roman" w:hAnsi="Times New Roman" w:eastAsia="方正小标宋_GBK" w:cs="Times New Roman"/>
              <w:color w:val="auto"/>
              <w:kern w:val="2"/>
              <w:sz w:val="24"/>
              <w:szCs w:val="24"/>
              <w:u w:val="none"/>
              <w:lang w:val="en-US" w:eastAsia="zh-CN" w:bidi="ar-SA"/>
            </w:rPr>
            <w:fldChar w:fldCharType="begin"/>
          </w:r>
          <w:r>
            <w:rPr>
              <w:rFonts w:hint="eastAsia" w:ascii="Times New Roman" w:hAnsi="Times New Roman" w:eastAsia="方正小标宋_GBK" w:cs="Times New Roman"/>
              <w:kern w:val="2"/>
              <w:sz w:val="24"/>
              <w:szCs w:val="24"/>
              <w:lang w:val="en-US" w:eastAsia="zh-CN" w:bidi="ar-SA"/>
            </w:rPr>
            <w:instrText xml:space="preserve"> HYPERLINK \l _Toc14537 </w:instrText>
          </w:r>
          <w:r>
            <w:rPr>
              <w:rFonts w:hint="eastAsia" w:ascii="Times New Roman" w:hAnsi="Times New Roman" w:eastAsia="方正小标宋_GBK" w:cs="Times New Roman"/>
              <w:kern w:val="2"/>
              <w:sz w:val="24"/>
              <w:szCs w:val="24"/>
              <w:lang w:val="en-US" w:eastAsia="zh-CN" w:bidi="ar-SA"/>
            </w:rPr>
            <w:fldChar w:fldCharType="separate"/>
          </w:r>
          <w:r>
            <w:rPr>
              <w:rFonts w:hint="eastAsia" w:ascii="Times New Roman" w:hAnsi="Times New Roman" w:eastAsia="方正小标宋_GBK" w:cs="Times New Roman"/>
              <w:kern w:val="2"/>
              <w:sz w:val="24"/>
              <w:szCs w:val="24"/>
              <w:highlight w:val="none"/>
              <w:lang w:val="en-US" w:eastAsia="zh-CN" w:bidi="ar-SA"/>
            </w:rPr>
            <w:t>第五章聚力乡村振兴，全面加快农业农村现代化</w:t>
          </w:r>
          <w:r>
            <w:rPr>
              <w:sz w:val="24"/>
              <w:szCs w:val="24"/>
            </w:rPr>
            <w:tab/>
          </w:r>
          <w:r>
            <w:rPr>
              <w:sz w:val="24"/>
              <w:szCs w:val="24"/>
            </w:rPr>
            <w:fldChar w:fldCharType="begin"/>
          </w:r>
          <w:r>
            <w:rPr>
              <w:sz w:val="24"/>
              <w:szCs w:val="24"/>
            </w:rPr>
            <w:instrText xml:space="preserve"> PAGEREF _Toc14537 \h </w:instrText>
          </w:r>
          <w:r>
            <w:rPr>
              <w:sz w:val="24"/>
              <w:szCs w:val="24"/>
            </w:rPr>
            <w:fldChar w:fldCharType="separate"/>
          </w:r>
          <w:r>
            <w:rPr>
              <w:sz w:val="24"/>
              <w:szCs w:val="24"/>
            </w:rPr>
            <w:t>- 58 -</w:t>
          </w:r>
          <w:r>
            <w:rPr>
              <w:sz w:val="24"/>
              <w:szCs w:val="24"/>
            </w:rPr>
            <w:fldChar w:fldCharType="end"/>
          </w:r>
          <w:r>
            <w:rPr>
              <w:rFonts w:hint="eastAsia" w:ascii="Times New Roman" w:hAnsi="Times New Roman" w:eastAsia="方正小标宋_GBK" w:cs="Times New Roman"/>
              <w:color w:val="auto"/>
              <w:kern w:val="2"/>
              <w:sz w:val="24"/>
              <w:szCs w:val="24"/>
              <w:u w:val="none"/>
              <w:lang w:val="en-US" w:eastAsia="zh-CN" w:bidi="ar-SA"/>
            </w:rPr>
            <w:fldChar w:fldCharType="end"/>
          </w:r>
        </w:p>
        <w:p w14:paraId="6D04E05B">
          <w:pPr>
            <w:pStyle w:val="11"/>
            <w:tabs>
              <w:tab w:val="right" w:leader="dot" w:pos="9026"/>
            </w:tabs>
            <w:spacing w:line="360" w:lineRule="auto"/>
            <w:rPr>
              <w:sz w:val="24"/>
              <w:szCs w:val="24"/>
            </w:rPr>
          </w:pPr>
          <w:r>
            <w:rPr>
              <w:rFonts w:hint="eastAsia" w:ascii="Times New Roman" w:hAnsi="Times New Roman" w:eastAsia="方正小标宋_GBK" w:cs="Times New Roman"/>
              <w:color w:val="auto"/>
              <w:kern w:val="2"/>
              <w:sz w:val="24"/>
              <w:szCs w:val="24"/>
              <w:u w:val="none"/>
              <w:lang w:val="en-US" w:eastAsia="zh-CN" w:bidi="ar-SA"/>
            </w:rPr>
            <w:fldChar w:fldCharType="begin"/>
          </w:r>
          <w:r>
            <w:rPr>
              <w:rFonts w:hint="eastAsia" w:ascii="Times New Roman" w:hAnsi="Times New Roman" w:eastAsia="方正小标宋_GBK" w:cs="Times New Roman"/>
              <w:kern w:val="2"/>
              <w:sz w:val="24"/>
              <w:szCs w:val="24"/>
              <w:lang w:val="en-US" w:eastAsia="zh-CN" w:bidi="ar-SA"/>
            </w:rPr>
            <w:instrText xml:space="preserve"> HYPERLINK \l _Toc31870 </w:instrText>
          </w:r>
          <w:r>
            <w:rPr>
              <w:rFonts w:hint="eastAsia" w:ascii="Times New Roman" w:hAnsi="Times New Roman" w:eastAsia="方正小标宋_GBK" w:cs="Times New Roman"/>
              <w:kern w:val="2"/>
              <w:sz w:val="24"/>
              <w:szCs w:val="24"/>
              <w:lang w:val="en-US" w:eastAsia="zh-CN" w:bidi="ar-SA"/>
            </w:rPr>
            <w:fldChar w:fldCharType="separate"/>
          </w:r>
          <w:r>
            <w:rPr>
              <w:rFonts w:hint="eastAsia" w:ascii="Times New Roman" w:hAnsi="Times New Roman" w:eastAsia="黑体" w:cs="Times New Roman"/>
              <w:bCs/>
              <w:kern w:val="2"/>
              <w:sz w:val="24"/>
              <w:szCs w:val="24"/>
              <w:highlight w:val="none"/>
              <w:lang w:val="en-US" w:eastAsia="zh-CN" w:bidi="ar-SA"/>
            </w:rPr>
            <w:t>第一节稳固粮食生产能力</w:t>
          </w:r>
          <w:r>
            <w:rPr>
              <w:sz w:val="24"/>
              <w:szCs w:val="24"/>
            </w:rPr>
            <w:tab/>
          </w:r>
          <w:r>
            <w:rPr>
              <w:sz w:val="24"/>
              <w:szCs w:val="24"/>
            </w:rPr>
            <w:fldChar w:fldCharType="begin"/>
          </w:r>
          <w:r>
            <w:rPr>
              <w:sz w:val="24"/>
              <w:szCs w:val="24"/>
            </w:rPr>
            <w:instrText xml:space="preserve"> PAGEREF _Toc31870 \h </w:instrText>
          </w:r>
          <w:r>
            <w:rPr>
              <w:sz w:val="24"/>
              <w:szCs w:val="24"/>
            </w:rPr>
            <w:fldChar w:fldCharType="separate"/>
          </w:r>
          <w:r>
            <w:rPr>
              <w:sz w:val="24"/>
              <w:szCs w:val="24"/>
            </w:rPr>
            <w:t>- 58 -</w:t>
          </w:r>
          <w:r>
            <w:rPr>
              <w:sz w:val="24"/>
              <w:szCs w:val="24"/>
            </w:rPr>
            <w:fldChar w:fldCharType="end"/>
          </w:r>
          <w:r>
            <w:rPr>
              <w:rFonts w:hint="eastAsia" w:ascii="Times New Roman" w:hAnsi="Times New Roman" w:eastAsia="方正小标宋_GBK" w:cs="Times New Roman"/>
              <w:color w:val="auto"/>
              <w:kern w:val="2"/>
              <w:sz w:val="24"/>
              <w:szCs w:val="24"/>
              <w:u w:val="none"/>
              <w:lang w:val="en-US" w:eastAsia="zh-CN" w:bidi="ar-SA"/>
            </w:rPr>
            <w:fldChar w:fldCharType="end"/>
          </w:r>
        </w:p>
        <w:p w14:paraId="7FE20D22">
          <w:pPr>
            <w:pStyle w:val="11"/>
            <w:tabs>
              <w:tab w:val="right" w:leader="dot" w:pos="9026"/>
            </w:tabs>
            <w:spacing w:line="360" w:lineRule="auto"/>
            <w:rPr>
              <w:sz w:val="24"/>
              <w:szCs w:val="24"/>
            </w:rPr>
          </w:pPr>
          <w:r>
            <w:rPr>
              <w:rFonts w:hint="eastAsia" w:ascii="Times New Roman" w:hAnsi="Times New Roman" w:eastAsia="方正小标宋_GBK" w:cs="Times New Roman"/>
              <w:color w:val="auto"/>
              <w:kern w:val="2"/>
              <w:sz w:val="24"/>
              <w:szCs w:val="24"/>
              <w:u w:val="none"/>
              <w:lang w:val="en-US" w:eastAsia="zh-CN" w:bidi="ar-SA"/>
            </w:rPr>
            <w:fldChar w:fldCharType="begin"/>
          </w:r>
          <w:r>
            <w:rPr>
              <w:rFonts w:hint="eastAsia" w:ascii="Times New Roman" w:hAnsi="Times New Roman" w:eastAsia="方正小标宋_GBK" w:cs="Times New Roman"/>
              <w:kern w:val="2"/>
              <w:sz w:val="24"/>
              <w:szCs w:val="24"/>
              <w:lang w:val="en-US" w:eastAsia="zh-CN" w:bidi="ar-SA"/>
            </w:rPr>
            <w:instrText xml:space="preserve"> HYPERLINK \l _Toc7340 </w:instrText>
          </w:r>
          <w:r>
            <w:rPr>
              <w:rFonts w:hint="eastAsia" w:ascii="Times New Roman" w:hAnsi="Times New Roman" w:eastAsia="方正小标宋_GBK" w:cs="Times New Roman"/>
              <w:kern w:val="2"/>
              <w:sz w:val="24"/>
              <w:szCs w:val="24"/>
              <w:lang w:val="en-US" w:eastAsia="zh-CN" w:bidi="ar-SA"/>
            </w:rPr>
            <w:fldChar w:fldCharType="separate"/>
          </w:r>
          <w:r>
            <w:rPr>
              <w:rFonts w:hint="eastAsia" w:ascii="Times New Roman" w:hAnsi="Times New Roman" w:eastAsia="黑体" w:cs="Times New Roman"/>
              <w:bCs/>
              <w:kern w:val="2"/>
              <w:sz w:val="24"/>
              <w:szCs w:val="24"/>
              <w:highlight w:val="none"/>
              <w:lang w:val="en-US" w:eastAsia="zh-CN" w:bidi="ar-SA"/>
            </w:rPr>
            <w:t>第二节发展乡村富民产业</w:t>
          </w:r>
          <w:r>
            <w:rPr>
              <w:sz w:val="24"/>
              <w:szCs w:val="24"/>
            </w:rPr>
            <w:tab/>
          </w:r>
          <w:r>
            <w:rPr>
              <w:sz w:val="24"/>
              <w:szCs w:val="24"/>
            </w:rPr>
            <w:fldChar w:fldCharType="begin"/>
          </w:r>
          <w:r>
            <w:rPr>
              <w:sz w:val="24"/>
              <w:szCs w:val="24"/>
            </w:rPr>
            <w:instrText xml:space="preserve"> PAGEREF _Toc7340 \h </w:instrText>
          </w:r>
          <w:r>
            <w:rPr>
              <w:sz w:val="24"/>
              <w:szCs w:val="24"/>
            </w:rPr>
            <w:fldChar w:fldCharType="separate"/>
          </w:r>
          <w:r>
            <w:rPr>
              <w:sz w:val="24"/>
              <w:szCs w:val="24"/>
            </w:rPr>
            <w:t>- 59 -</w:t>
          </w:r>
          <w:r>
            <w:rPr>
              <w:sz w:val="24"/>
              <w:szCs w:val="24"/>
            </w:rPr>
            <w:fldChar w:fldCharType="end"/>
          </w:r>
          <w:r>
            <w:rPr>
              <w:rFonts w:hint="eastAsia" w:ascii="Times New Roman" w:hAnsi="Times New Roman" w:eastAsia="方正小标宋_GBK" w:cs="Times New Roman"/>
              <w:color w:val="auto"/>
              <w:kern w:val="2"/>
              <w:sz w:val="24"/>
              <w:szCs w:val="24"/>
              <w:u w:val="none"/>
              <w:lang w:val="en-US" w:eastAsia="zh-CN" w:bidi="ar-SA"/>
            </w:rPr>
            <w:fldChar w:fldCharType="end"/>
          </w:r>
        </w:p>
        <w:p w14:paraId="09638D2C">
          <w:pPr>
            <w:pStyle w:val="11"/>
            <w:tabs>
              <w:tab w:val="right" w:leader="dot" w:pos="9026"/>
            </w:tabs>
            <w:spacing w:line="360" w:lineRule="auto"/>
            <w:rPr>
              <w:sz w:val="24"/>
              <w:szCs w:val="24"/>
            </w:rPr>
          </w:pPr>
          <w:r>
            <w:rPr>
              <w:rFonts w:hint="eastAsia" w:ascii="Times New Roman" w:hAnsi="Times New Roman" w:eastAsia="方正小标宋_GBK" w:cs="Times New Roman"/>
              <w:color w:val="auto"/>
              <w:kern w:val="2"/>
              <w:sz w:val="24"/>
              <w:szCs w:val="24"/>
              <w:u w:val="none"/>
              <w:lang w:val="en-US" w:eastAsia="zh-CN" w:bidi="ar-SA"/>
            </w:rPr>
            <w:fldChar w:fldCharType="begin"/>
          </w:r>
          <w:r>
            <w:rPr>
              <w:rFonts w:hint="eastAsia" w:ascii="Times New Roman" w:hAnsi="Times New Roman" w:eastAsia="方正小标宋_GBK" w:cs="Times New Roman"/>
              <w:kern w:val="2"/>
              <w:sz w:val="24"/>
              <w:szCs w:val="24"/>
              <w:lang w:val="en-US" w:eastAsia="zh-CN" w:bidi="ar-SA"/>
            </w:rPr>
            <w:instrText xml:space="preserve"> HYPERLINK \l _Toc1455 </w:instrText>
          </w:r>
          <w:r>
            <w:rPr>
              <w:rFonts w:hint="eastAsia" w:ascii="Times New Roman" w:hAnsi="Times New Roman" w:eastAsia="方正小标宋_GBK" w:cs="Times New Roman"/>
              <w:kern w:val="2"/>
              <w:sz w:val="24"/>
              <w:szCs w:val="24"/>
              <w:lang w:val="en-US" w:eastAsia="zh-CN" w:bidi="ar-SA"/>
            </w:rPr>
            <w:fldChar w:fldCharType="separate"/>
          </w:r>
          <w:r>
            <w:rPr>
              <w:rFonts w:hint="eastAsia" w:ascii="Times New Roman" w:hAnsi="Times New Roman" w:eastAsia="黑体" w:cs="Times New Roman"/>
              <w:bCs/>
              <w:kern w:val="2"/>
              <w:sz w:val="24"/>
              <w:szCs w:val="24"/>
              <w:highlight w:val="none"/>
              <w:lang w:val="en-US" w:eastAsia="zh-CN" w:bidi="ar-SA"/>
            </w:rPr>
            <w:t>第三节推进和美乡村建设</w:t>
          </w:r>
          <w:r>
            <w:rPr>
              <w:sz w:val="24"/>
              <w:szCs w:val="24"/>
            </w:rPr>
            <w:tab/>
          </w:r>
          <w:r>
            <w:rPr>
              <w:sz w:val="24"/>
              <w:szCs w:val="24"/>
            </w:rPr>
            <w:fldChar w:fldCharType="begin"/>
          </w:r>
          <w:r>
            <w:rPr>
              <w:sz w:val="24"/>
              <w:szCs w:val="24"/>
            </w:rPr>
            <w:instrText xml:space="preserve"> PAGEREF _Toc1455 \h </w:instrText>
          </w:r>
          <w:r>
            <w:rPr>
              <w:sz w:val="24"/>
              <w:szCs w:val="24"/>
            </w:rPr>
            <w:fldChar w:fldCharType="separate"/>
          </w:r>
          <w:r>
            <w:rPr>
              <w:sz w:val="24"/>
              <w:szCs w:val="24"/>
            </w:rPr>
            <w:t>- 62 -</w:t>
          </w:r>
          <w:r>
            <w:rPr>
              <w:sz w:val="24"/>
              <w:szCs w:val="24"/>
            </w:rPr>
            <w:fldChar w:fldCharType="end"/>
          </w:r>
          <w:r>
            <w:rPr>
              <w:rFonts w:hint="eastAsia" w:ascii="Times New Roman" w:hAnsi="Times New Roman" w:eastAsia="方正小标宋_GBK" w:cs="Times New Roman"/>
              <w:color w:val="auto"/>
              <w:kern w:val="2"/>
              <w:sz w:val="24"/>
              <w:szCs w:val="24"/>
              <w:u w:val="none"/>
              <w:lang w:val="en-US" w:eastAsia="zh-CN" w:bidi="ar-SA"/>
            </w:rPr>
            <w:fldChar w:fldCharType="end"/>
          </w:r>
        </w:p>
        <w:p w14:paraId="65BB7772">
          <w:pPr>
            <w:pStyle w:val="11"/>
            <w:tabs>
              <w:tab w:val="right" w:leader="dot" w:pos="9026"/>
            </w:tabs>
            <w:spacing w:line="360" w:lineRule="auto"/>
            <w:rPr>
              <w:sz w:val="24"/>
              <w:szCs w:val="24"/>
            </w:rPr>
          </w:pPr>
          <w:r>
            <w:rPr>
              <w:rFonts w:hint="eastAsia" w:ascii="Times New Roman" w:hAnsi="Times New Roman" w:eastAsia="方正小标宋_GBK" w:cs="Times New Roman"/>
              <w:color w:val="auto"/>
              <w:kern w:val="2"/>
              <w:sz w:val="24"/>
              <w:szCs w:val="24"/>
              <w:u w:val="none"/>
              <w:lang w:val="en-US" w:eastAsia="zh-CN" w:bidi="ar-SA"/>
            </w:rPr>
            <w:fldChar w:fldCharType="begin"/>
          </w:r>
          <w:r>
            <w:rPr>
              <w:rFonts w:hint="eastAsia" w:ascii="Times New Roman" w:hAnsi="Times New Roman" w:eastAsia="方正小标宋_GBK" w:cs="Times New Roman"/>
              <w:kern w:val="2"/>
              <w:sz w:val="24"/>
              <w:szCs w:val="24"/>
              <w:lang w:val="en-US" w:eastAsia="zh-CN" w:bidi="ar-SA"/>
            </w:rPr>
            <w:instrText xml:space="preserve"> HYPERLINK \l _Toc2996 </w:instrText>
          </w:r>
          <w:r>
            <w:rPr>
              <w:rFonts w:hint="eastAsia" w:ascii="Times New Roman" w:hAnsi="Times New Roman" w:eastAsia="方正小标宋_GBK" w:cs="Times New Roman"/>
              <w:kern w:val="2"/>
              <w:sz w:val="24"/>
              <w:szCs w:val="24"/>
              <w:lang w:val="en-US" w:eastAsia="zh-CN" w:bidi="ar-SA"/>
            </w:rPr>
            <w:fldChar w:fldCharType="separate"/>
          </w:r>
          <w:r>
            <w:rPr>
              <w:rFonts w:hint="eastAsia" w:ascii="Times New Roman" w:hAnsi="Times New Roman" w:eastAsia="黑体" w:cs="Times New Roman"/>
              <w:bCs/>
              <w:kern w:val="2"/>
              <w:sz w:val="24"/>
              <w:szCs w:val="24"/>
              <w:highlight w:val="none"/>
              <w:lang w:val="en-US" w:eastAsia="zh-CN" w:bidi="ar-SA"/>
            </w:rPr>
            <w:t>第四节拓展农民增收渠道</w:t>
          </w:r>
          <w:r>
            <w:rPr>
              <w:sz w:val="24"/>
              <w:szCs w:val="24"/>
            </w:rPr>
            <w:tab/>
          </w:r>
          <w:r>
            <w:rPr>
              <w:sz w:val="24"/>
              <w:szCs w:val="24"/>
            </w:rPr>
            <w:fldChar w:fldCharType="begin"/>
          </w:r>
          <w:r>
            <w:rPr>
              <w:sz w:val="24"/>
              <w:szCs w:val="24"/>
            </w:rPr>
            <w:instrText xml:space="preserve"> PAGEREF _Toc2996 \h </w:instrText>
          </w:r>
          <w:r>
            <w:rPr>
              <w:sz w:val="24"/>
              <w:szCs w:val="24"/>
            </w:rPr>
            <w:fldChar w:fldCharType="separate"/>
          </w:r>
          <w:r>
            <w:rPr>
              <w:sz w:val="24"/>
              <w:szCs w:val="24"/>
            </w:rPr>
            <w:t>- 63 -</w:t>
          </w:r>
          <w:r>
            <w:rPr>
              <w:sz w:val="24"/>
              <w:szCs w:val="24"/>
            </w:rPr>
            <w:fldChar w:fldCharType="end"/>
          </w:r>
          <w:r>
            <w:rPr>
              <w:rFonts w:hint="eastAsia" w:ascii="Times New Roman" w:hAnsi="Times New Roman" w:eastAsia="方正小标宋_GBK" w:cs="Times New Roman"/>
              <w:color w:val="auto"/>
              <w:kern w:val="2"/>
              <w:sz w:val="24"/>
              <w:szCs w:val="24"/>
              <w:u w:val="none"/>
              <w:lang w:val="en-US" w:eastAsia="zh-CN" w:bidi="ar-SA"/>
            </w:rPr>
            <w:fldChar w:fldCharType="end"/>
          </w:r>
        </w:p>
        <w:p w14:paraId="16D1490C">
          <w:pPr>
            <w:pStyle w:val="16"/>
            <w:tabs>
              <w:tab w:val="right" w:leader="dot" w:pos="9026"/>
            </w:tabs>
            <w:spacing w:line="360" w:lineRule="auto"/>
            <w:rPr>
              <w:sz w:val="24"/>
              <w:szCs w:val="24"/>
            </w:rPr>
          </w:pPr>
          <w:r>
            <w:rPr>
              <w:rFonts w:hint="eastAsia" w:ascii="Times New Roman" w:hAnsi="Times New Roman" w:eastAsia="方正小标宋_GBK" w:cs="Times New Roman"/>
              <w:color w:val="auto"/>
              <w:kern w:val="2"/>
              <w:sz w:val="24"/>
              <w:szCs w:val="24"/>
              <w:u w:val="none"/>
              <w:lang w:val="en-US" w:eastAsia="zh-CN" w:bidi="ar-SA"/>
            </w:rPr>
            <w:fldChar w:fldCharType="begin"/>
          </w:r>
          <w:r>
            <w:rPr>
              <w:rFonts w:hint="eastAsia" w:ascii="Times New Roman" w:hAnsi="Times New Roman" w:eastAsia="方正小标宋_GBK" w:cs="Times New Roman"/>
              <w:kern w:val="2"/>
              <w:sz w:val="24"/>
              <w:szCs w:val="24"/>
              <w:lang w:val="en-US" w:eastAsia="zh-CN" w:bidi="ar-SA"/>
            </w:rPr>
            <w:instrText xml:space="preserve"> HYPERLINK \l _Toc7533 </w:instrText>
          </w:r>
          <w:r>
            <w:rPr>
              <w:rFonts w:hint="eastAsia" w:ascii="Times New Roman" w:hAnsi="Times New Roman" w:eastAsia="方正小标宋_GBK" w:cs="Times New Roman"/>
              <w:kern w:val="2"/>
              <w:sz w:val="24"/>
              <w:szCs w:val="24"/>
              <w:lang w:val="en-US" w:eastAsia="zh-CN" w:bidi="ar-SA"/>
            </w:rPr>
            <w:fldChar w:fldCharType="separate"/>
          </w:r>
          <w:r>
            <w:rPr>
              <w:rFonts w:hint="eastAsia" w:ascii="Times New Roman" w:hAnsi="Times New Roman" w:eastAsia="方正小标宋_GBK" w:cs="Times New Roman"/>
              <w:kern w:val="2"/>
              <w:sz w:val="24"/>
              <w:szCs w:val="24"/>
              <w:highlight w:val="none"/>
              <w:lang w:val="en-US" w:eastAsia="zh-CN" w:bidi="ar-SA"/>
            </w:rPr>
            <w:t>第六章聚焦蔬菜经济，打造“中原菜都”</w:t>
          </w:r>
          <w:r>
            <w:rPr>
              <w:sz w:val="24"/>
              <w:szCs w:val="24"/>
            </w:rPr>
            <w:tab/>
          </w:r>
          <w:r>
            <w:rPr>
              <w:sz w:val="24"/>
              <w:szCs w:val="24"/>
            </w:rPr>
            <w:fldChar w:fldCharType="begin"/>
          </w:r>
          <w:r>
            <w:rPr>
              <w:sz w:val="24"/>
              <w:szCs w:val="24"/>
            </w:rPr>
            <w:instrText xml:space="preserve"> PAGEREF _Toc7533 \h </w:instrText>
          </w:r>
          <w:r>
            <w:rPr>
              <w:sz w:val="24"/>
              <w:szCs w:val="24"/>
            </w:rPr>
            <w:fldChar w:fldCharType="separate"/>
          </w:r>
          <w:r>
            <w:rPr>
              <w:sz w:val="24"/>
              <w:szCs w:val="24"/>
            </w:rPr>
            <w:t>- 65 -</w:t>
          </w:r>
          <w:r>
            <w:rPr>
              <w:sz w:val="24"/>
              <w:szCs w:val="24"/>
            </w:rPr>
            <w:fldChar w:fldCharType="end"/>
          </w:r>
          <w:r>
            <w:rPr>
              <w:rFonts w:hint="eastAsia" w:ascii="Times New Roman" w:hAnsi="Times New Roman" w:eastAsia="方正小标宋_GBK" w:cs="Times New Roman"/>
              <w:color w:val="auto"/>
              <w:kern w:val="2"/>
              <w:sz w:val="24"/>
              <w:szCs w:val="24"/>
              <w:u w:val="none"/>
              <w:lang w:val="en-US" w:eastAsia="zh-CN" w:bidi="ar-SA"/>
            </w:rPr>
            <w:fldChar w:fldCharType="end"/>
          </w:r>
        </w:p>
        <w:p w14:paraId="37B25E78">
          <w:pPr>
            <w:pStyle w:val="11"/>
            <w:tabs>
              <w:tab w:val="right" w:leader="dot" w:pos="9026"/>
            </w:tabs>
            <w:spacing w:line="360" w:lineRule="auto"/>
            <w:rPr>
              <w:sz w:val="24"/>
              <w:szCs w:val="24"/>
            </w:rPr>
          </w:pPr>
          <w:r>
            <w:rPr>
              <w:rFonts w:hint="eastAsia" w:ascii="Times New Roman" w:hAnsi="Times New Roman" w:eastAsia="方正小标宋_GBK" w:cs="Times New Roman"/>
              <w:color w:val="auto"/>
              <w:kern w:val="2"/>
              <w:sz w:val="24"/>
              <w:szCs w:val="24"/>
              <w:u w:val="none"/>
              <w:lang w:val="en-US" w:eastAsia="zh-CN" w:bidi="ar-SA"/>
            </w:rPr>
            <w:fldChar w:fldCharType="begin"/>
          </w:r>
          <w:r>
            <w:rPr>
              <w:rFonts w:hint="eastAsia" w:ascii="Times New Roman" w:hAnsi="Times New Roman" w:eastAsia="方正小标宋_GBK" w:cs="Times New Roman"/>
              <w:kern w:val="2"/>
              <w:sz w:val="24"/>
              <w:szCs w:val="24"/>
              <w:lang w:val="en-US" w:eastAsia="zh-CN" w:bidi="ar-SA"/>
            </w:rPr>
            <w:instrText xml:space="preserve"> HYPERLINK \l _Toc2071 </w:instrText>
          </w:r>
          <w:r>
            <w:rPr>
              <w:rFonts w:hint="eastAsia" w:ascii="Times New Roman" w:hAnsi="Times New Roman" w:eastAsia="方正小标宋_GBK" w:cs="Times New Roman"/>
              <w:kern w:val="2"/>
              <w:sz w:val="24"/>
              <w:szCs w:val="24"/>
              <w:lang w:val="en-US" w:eastAsia="zh-CN" w:bidi="ar-SA"/>
            </w:rPr>
            <w:fldChar w:fldCharType="separate"/>
          </w:r>
          <w:r>
            <w:rPr>
              <w:rFonts w:hint="eastAsia" w:ascii="Times New Roman" w:hAnsi="Times New Roman" w:eastAsia="黑体" w:cs="Times New Roman"/>
              <w:bCs/>
              <w:kern w:val="2"/>
              <w:sz w:val="24"/>
              <w:szCs w:val="24"/>
              <w:highlight w:val="none"/>
              <w:lang w:val="en-US" w:eastAsia="zh-CN" w:bidi="ar-SA"/>
            </w:rPr>
            <w:t>第一节推进“一园三带四区”新蔬菜产业发展布局</w:t>
          </w:r>
          <w:r>
            <w:rPr>
              <w:sz w:val="24"/>
              <w:szCs w:val="24"/>
            </w:rPr>
            <w:tab/>
          </w:r>
          <w:r>
            <w:rPr>
              <w:sz w:val="24"/>
              <w:szCs w:val="24"/>
            </w:rPr>
            <w:fldChar w:fldCharType="begin"/>
          </w:r>
          <w:r>
            <w:rPr>
              <w:sz w:val="24"/>
              <w:szCs w:val="24"/>
            </w:rPr>
            <w:instrText xml:space="preserve"> PAGEREF _Toc2071 \h </w:instrText>
          </w:r>
          <w:r>
            <w:rPr>
              <w:sz w:val="24"/>
              <w:szCs w:val="24"/>
            </w:rPr>
            <w:fldChar w:fldCharType="separate"/>
          </w:r>
          <w:r>
            <w:rPr>
              <w:sz w:val="24"/>
              <w:szCs w:val="24"/>
            </w:rPr>
            <w:t>- 65 -</w:t>
          </w:r>
          <w:r>
            <w:rPr>
              <w:sz w:val="24"/>
              <w:szCs w:val="24"/>
            </w:rPr>
            <w:fldChar w:fldCharType="end"/>
          </w:r>
          <w:r>
            <w:rPr>
              <w:rFonts w:hint="eastAsia" w:ascii="Times New Roman" w:hAnsi="Times New Roman" w:eastAsia="方正小标宋_GBK" w:cs="Times New Roman"/>
              <w:color w:val="auto"/>
              <w:kern w:val="2"/>
              <w:sz w:val="24"/>
              <w:szCs w:val="24"/>
              <w:u w:val="none"/>
              <w:lang w:val="en-US" w:eastAsia="zh-CN" w:bidi="ar-SA"/>
            </w:rPr>
            <w:fldChar w:fldCharType="end"/>
          </w:r>
        </w:p>
        <w:p w14:paraId="5DCAAE3D">
          <w:pPr>
            <w:pStyle w:val="11"/>
            <w:tabs>
              <w:tab w:val="right" w:leader="dot" w:pos="9026"/>
            </w:tabs>
            <w:spacing w:line="360" w:lineRule="auto"/>
            <w:rPr>
              <w:sz w:val="24"/>
              <w:szCs w:val="24"/>
            </w:rPr>
          </w:pPr>
          <w:r>
            <w:rPr>
              <w:rFonts w:hint="eastAsia" w:ascii="Times New Roman" w:hAnsi="Times New Roman" w:eastAsia="方正小标宋_GBK" w:cs="Times New Roman"/>
              <w:color w:val="auto"/>
              <w:kern w:val="2"/>
              <w:sz w:val="24"/>
              <w:szCs w:val="24"/>
              <w:u w:val="none"/>
              <w:lang w:val="en-US" w:eastAsia="zh-CN" w:bidi="ar-SA"/>
            </w:rPr>
            <w:fldChar w:fldCharType="begin"/>
          </w:r>
          <w:r>
            <w:rPr>
              <w:rFonts w:hint="eastAsia" w:ascii="Times New Roman" w:hAnsi="Times New Roman" w:eastAsia="方正小标宋_GBK" w:cs="Times New Roman"/>
              <w:kern w:val="2"/>
              <w:sz w:val="24"/>
              <w:szCs w:val="24"/>
              <w:lang w:val="en-US" w:eastAsia="zh-CN" w:bidi="ar-SA"/>
            </w:rPr>
            <w:instrText xml:space="preserve"> HYPERLINK \l _Toc1802 </w:instrText>
          </w:r>
          <w:r>
            <w:rPr>
              <w:rFonts w:hint="eastAsia" w:ascii="Times New Roman" w:hAnsi="Times New Roman" w:eastAsia="方正小标宋_GBK" w:cs="Times New Roman"/>
              <w:kern w:val="2"/>
              <w:sz w:val="24"/>
              <w:szCs w:val="24"/>
              <w:lang w:val="en-US" w:eastAsia="zh-CN" w:bidi="ar-SA"/>
            </w:rPr>
            <w:fldChar w:fldCharType="separate"/>
          </w:r>
          <w:r>
            <w:rPr>
              <w:rFonts w:hint="eastAsia" w:ascii="Times New Roman" w:hAnsi="Times New Roman" w:eastAsia="黑体" w:cs="Times New Roman"/>
              <w:bCs/>
              <w:kern w:val="2"/>
              <w:sz w:val="24"/>
              <w:szCs w:val="24"/>
              <w:highlight w:val="none"/>
              <w:lang w:val="en-US" w:eastAsia="zh-CN" w:bidi="ar-SA"/>
            </w:rPr>
            <w:t>第二节构建现代化蔬菜产业体系，实施质量兴农“七大提升行动”</w:t>
          </w:r>
          <w:r>
            <w:rPr>
              <w:sz w:val="24"/>
              <w:szCs w:val="24"/>
            </w:rPr>
            <w:tab/>
          </w:r>
          <w:r>
            <w:rPr>
              <w:sz w:val="24"/>
              <w:szCs w:val="24"/>
            </w:rPr>
            <w:fldChar w:fldCharType="begin"/>
          </w:r>
          <w:r>
            <w:rPr>
              <w:sz w:val="24"/>
              <w:szCs w:val="24"/>
            </w:rPr>
            <w:instrText xml:space="preserve"> PAGEREF _Toc1802 \h </w:instrText>
          </w:r>
          <w:r>
            <w:rPr>
              <w:sz w:val="24"/>
              <w:szCs w:val="24"/>
            </w:rPr>
            <w:fldChar w:fldCharType="separate"/>
          </w:r>
          <w:r>
            <w:rPr>
              <w:sz w:val="24"/>
              <w:szCs w:val="24"/>
            </w:rPr>
            <w:t>- 67 -</w:t>
          </w:r>
          <w:r>
            <w:rPr>
              <w:sz w:val="24"/>
              <w:szCs w:val="24"/>
            </w:rPr>
            <w:fldChar w:fldCharType="end"/>
          </w:r>
          <w:r>
            <w:rPr>
              <w:rFonts w:hint="eastAsia" w:ascii="Times New Roman" w:hAnsi="Times New Roman" w:eastAsia="方正小标宋_GBK" w:cs="Times New Roman"/>
              <w:color w:val="auto"/>
              <w:kern w:val="2"/>
              <w:sz w:val="24"/>
              <w:szCs w:val="24"/>
              <w:u w:val="none"/>
              <w:lang w:val="en-US" w:eastAsia="zh-CN" w:bidi="ar-SA"/>
            </w:rPr>
            <w:fldChar w:fldCharType="end"/>
          </w:r>
        </w:p>
        <w:p w14:paraId="31173A74">
          <w:pPr>
            <w:pStyle w:val="11"/>
            <w:tabs>
              <w:tab w:val="right" w:leader="dot" w:pos="9026"/>
            </w:tabs>
            <w:spacing w:line="360" w:lineRule="auto"/>
            <w:rPr>
              <w:sz w:val="24"/>
              <w:szCs w:val="24"/>
            </w:rPr>
          </w:pPr>
          <w:r>
            <w:rPr>
              <w:rFonts w:hint="eastAsia" w:ascii="Times New Roman" w:hAnsi="Times New Roman" w:eastAsia="方正小标宋_GBK" w:cs="Times New Roman"/>
              <w:color w:val="auto"/>
              <w:kern w:val="2"/>
              <w:sz w:val="24"/>
              <w:szCs w:val="24"/>
              <w:u w:val="none"/>
              <w:lang w:val="en-US" w:eastAsia="zh-CN" w:bidi="ar-SA"/>
            </w:rPr>
            <w:fldChar w:fldCharType="begin"/>
          </w:r>
          <w:r>
            <w:rPr>
              <w:rFonts w:hint="eastAsia" w:ascii="Times New Roman" w:hAnsi="Times New Roman" w:eastAsia="方正小标宋_GBK" w:cs="Times New Roman"/>
              <w:kern w:val="2"/>
              <w:sz w:val="24"/>
              <w:szCs w:val="24"/>
              <w:lang w:val="en-US" w:eastAsia="zh-CN" w:bidi="ar-SA"/>
            </w:rPr>
            <w:instrText xml:space="preserve"> HYPERLINK \l _Toc12814 </w:instrText>
          </w:r>
          <w:r>
            <w:rPr>
              <w:rFonts w:hint="eastAsia" w:ascii="Times New Roman" w:hAnsi="Times New Roman" w:eastAsia="方正小标宋_GBK" w:cs="Times New Roman"/>
              <w:kern w:val="2"/>
              <w:sz w:val="24"/>
              <w:szCs w:val="24"/>
              <w:lang w:val="en-US" w:eastAsia="zh-CN" w:bidi="ar-SA"/>
            </w:rPr>
            <w:fldChar w:fldCharType="separate"/>
          </w:r>
          <w:r>
            <w:rPr>
              <w:rFonts w:hint="eastAsia" w:ascii="Times New Roman" w:hAnsi="Times New Roman" w:eastAsia="黑体" w:cs="Times New Roman"/>
              <w:bCs/>
              <w:kern w:val="2"/>
              <w:sz w:val="24"/>
              <w:szCs w:val="24"/>
              <w:highlight w:val="none"/>
              <w:lang w:val="en-US" w:eastAsia="zh-CN" w:bidi="ar-SA"/>
            </w:rPr>
            <w:t>第三节打造“三大载体”，促进蔬菜产业高质量发展</w:t>
          </w:r>
          <w:r>
            <w:rPr>
              <w:sz w:val="24"/>
              <w:szCs w:val="24"/>
            </w:rPr>
            <w:tab/>
          </w:r>
          <w:r>
            <w:rPr>
              <w:sz w:val="24"/>
              <w:szCs w:val="24"/>
            </w:rPr>
            <w:fldChar w:fldCharType="begin"/>
          </w:r>
          <w:r>
            <w:rPr>
              <w:sz w:val="24"/>
              <w:szCs w:val="24"/>
            </w:rPr>
            <w:instrText xml:space="preserve"> PAGEREF _Toc12814 \h </w:instrText>
          </w:r>
          <w:r>
            <w:rPr>
              <w:sz w:val="24"/>
              <w:szCs w:val="24"/>
            </w:rPr>
            <w:fldChar w:fldCharType="separate"/>
          </w:r>
          <w:r>
            <w:rPr>
              <w:sz w:val="24"/>
              <w:szCs w:val="24"/>
            </w:rPr>
            <w:t>- 70 -</w:t>
          </w:r>
          <w:r>
            <w:rPr>
              <w:sz w:val="24"/>
              <w:szCs w:val="24"/>
            </w:rPr>
            <w:fldChar w:fldCharType="end"/>
          </w:r>
          <w:r>
            <w:rPr>
              <w:rFonts w:hint="eastAsia" w:ascii="Times New Roman" w:hAnsi="Times New Roman" w:eastAsia="方正小标宋_GBK" w:cs="Times New Roman"/>
              <w:color w:val="auto"/>
              <w:kern w:val="2"/>
              <w:sz w:val="24"/>
              <w:szCs w:val="24"/>
              <w:u w:val="none"/>
              <w:lang w:val="en-US" w:eastAsia="zh-CN" w:bidi="ar-SA"/>
            </w:rPr>
            <w:fldChar w:fldCharType="end"/>
          </w:r>
        </w:p>
        <w:p w14:paraId="250B0EF1">
          <w:pPr>
            <w:pStyle w:val="11"/>
            <w:tabs>
              <w:tab w:val="right" w:leader="dot" w:pos="9026"/>
            </w:tabs>
            <w:spacing w:line="360" w:lineRule="auto"/>
            <w:rPr>
              <w:sz w:val="24"/>
              <w:szCs w:val="24"/>
            </w:rPr>
          </w:pPr>
          <w:r>
            <w:rPr>
              <w:rFonts w:hint="eastAsia" w:ascii="Times New Roman" w:hAnsi="Times New Roman" w:eastAsia="方正小标宋_GBK" w:cs="Times New Roman"/>
              <w:color w:val="auto"/>
              <w:kern w:val="2"/>
              <w:sz w:val="24"/>
              <w:szCs w:val="24"/>
              <w:u w:val="none"/>
              <w:lang w:val="en-US" w:eastAsia="zh-CN" w:bidi="ar-SA"/>
            </w:rPr>
            <w:fldChar w:fldCharType="begin"/>
          </w:r>
          <w:r>
            <w:rPr>
              <w:rFonts w:hint="eastAsia" w:ascii="Times New Roman" w:hAnsi="Times New Roman" w:eastAsia="方正小标宋_GBK" w:cs="Times New Roman"/>
              <w:kern w:val="2"/>
              <w:sz w:val="24"/>
              <w:szCs w:val="24"/>
              <w:lang w:val="en-US" w:eastAsia="zh-CN" w:bidi="ar-SA"/>
            </w:rPr>
            <w:instrText xml:space="preserve"> HYPERLINK \l _Toc19293 </w:instrText>
          </w:r>
          <w:r>
            <w:rPr>
              <w:rFonts w:hint="eastAsia" w:ascii="Times New Roman" w:hAnsi="Times New Roman" w:eastAsia="方正小标宋_GBK" w:cs="Times New Roman"/>
              <w:kern w:val="2"/>
              <w:sz w:val="24"/>
              <w:szCs w:val="24"/>
              <w:lang w:val="en-US" w:eastAsia="zh-CN" w:bidi="ar-SA"/>
            </w:rPr>
            <w:fldChar w:fldCharType="separate"/>
          </w:r>
          <w:r>
            <w:rPr>
              <w:rFonts w:hint="eastAsia" w:ascii="Times New Roman" w:hAnsi="Times New Roman" w:eastAsia="黑体" w:cs="Times New Roman"/>
              <w:bCs/>
              <w:kern w:val="2"/>
              <w:sz w:val="24"/>
              <w:szCs w:val="24"/>
              <w:highlight w:val="none"/>
              <w:lang w:val="en-US" w:eastAsia="zh-CN" w:bidi="ar-SA"/>
            </w:rPr>
            <w:t>第四节拓展蔬菜产业发展空间，深化“三项合作”</w:t>
          </w:r>
          <w:r>
            <w:rPr>
              <w:sz w:val="24"/>
              <w:szCs w:val="24"/>
            </w:rPr>
            <w:tab/>
          </w:r>
          <w:r>
            <w:rPr>
              <w:sz w:val="24"/>
              <w:szCs w:val="24"/>
            </w:rPr>
            <w:fldChar w:fldCharType="begin"/>
          </w:r>
          <w:r>
            <w:rPr>
              <w:sz w:val="24"/>
              <w:szCs w:val="24"/>
            </w:rPr>
            <w:instrText xml:space="preserve"> PAGEREF _Toc19293 \h </w:instrText>
          </w:r>
          <w:r>
            <w:rPr>
              <w:sz w:val="24"/>
              <w:szCs w:val="24"/>
            </w:rPr>
            <w:fldChar w:fldCharType="separate"/>
          </w:r>
          <w:r>
            <w:rPr>
              <w:sz w:val="24"/>
              <w:szCs w:val="24"/>
            </w:rPr>
            <w:t>- 72 -</w:t>
          </w:r>
          <w:r>
            <w:rPr>
              <w:sz w:val="24"/>
              <w:szCs w:val="24"/>
            </w:rPr>
            <w:fldChar w:fldCharType="end"/>
          </w:r>
          <w:r>
            <w:rPr>
              <w:rFonts w:hint="eastAsia" w:ascii="Times New Roman" w:hAnsi="Times New Roman" w:eastAsia="方正小标宋_GBK" w:cs="Times New Roman"/>
              <w:color w:val="auto"/>
              <w:kern w:val="2"/>
              <w:sz w:val="24"/>
              <w:szCs w:val="24"/>
              <w:u w:val="none"/>
              <w:lang w:val="en-US" w:eastAsia="zh-CN" w:bidi="ar-SA"/>
            </w:rPr>
            <w:fldChar w:fldCharType="end"/>
          </w:r>
        </w:p>
        <w:p w14:paraId="2DB85FFB">
          <w:pPr>
            <w:pStyle w:val="14"/>
            <w:tabs>
              <w:tab w:val="right" w:leader="dot" w:pos="9026"/>
            </w:tabs>
            <w:spacing w:line="360" w:lineRule="auto"/>
            <w:rPr>
              <w:sz w:val="24"/>
              <w:szCs w:val="24"/>
            </w:rPr>
          </w:pPr>
          <w:r>
            <w:rPr>
              <w:rFonts w:hint="eastAsia" w:ascii="Times New Roman" w:hAnsi="Times New Roman" w:eastAsia="方正小标宋_GBK" w:cs="Times New Roman"/>
              <w:color w:val="auto"/>
              <w:kern w:val="2"/>
              <w:sz w:val="24"/>
              <w:szCs w:val="24"/>
              <w:u w:val="none"/>
              <w:lang w:val="en-US" w:eastAsia="zh-CN" w:bidi="ar-SA"/>
            </w:rPr>
            <w:fldChar w:fldCharType="begin"/>
          </w:r>
          <w:r>
            <w:rPr>
              <w:rFonts w:hint="eastAsia" w:ascii="Times New Roman" w:hAnsi="Times New Roman" w:eastAsia="方正小标宋_GBK" w:cs="Times New Roman"/>
              <w:kern w:val="2"/>
              <w:sz w:val="24"/>
              <w:szCs w:val="24"/>
              <w:lang w:val="en-US" w:eastAsia="zh-CN" w:bidi="ar-SA"/>
            </w:rPr>
            <w:instrText xml:space="preserve"> HYPERLINK \l _Toc14985 </w:instrText>
          </w:r>
          <w:r>
            <w:rPr>
              <w:rFonts w:hint="eastAsia" w:ascii="Times New Roman" w:hAnsi="Times New Roman" w:eastAsia="方正小标宋_GBK" w:cs="Times New Roman"/>
              <w:kern w:val="2"/>
              <w:sz w:val="24"/>
              <w:szCs w:val="24"/>
              <w:lang w:val="en-US" w:eastAsia="zh-CN" w:bidi="ar-SA"/>
            </w:rPr>
            <w:fldChar w:fldCharType="separate"/>
          </w:r>
          <w:r>
            <w:rPr>
              <w:rFonts w:hint="eastAsia" w:ascii="Times New Roman" w:hAnsi="Times New Roman" w:eastAsia="方正小标宋_GBK" w:cs="Times New Roman"/>
              <w:kern w:val="2"/>
              <w:sz w:val="24"/>
              <w:szCs w:val="24"/>
              <w:highlight w:val="none"/>
              <w:lang w:val="en-US" w:eastAsia="zh-CN" w:bidi="ar-SA"/>
            </w:rPr>
            <w:t>板块三：城市规划建设管理</w:t>
          </w:r>
          <w:r>
            <w:rPr>
              <w:sz w:val="24"/>
              <w:szCs w:val="24"/>
            </w:rPr>
            <w:tab/>
          </w:r>
          <w:r>
            <w:rPr>
              <w:sz w:val="24"/>
              <w:szCs w:val="24"/>
            </w:rPr>
            <w:fldChar w:fldCharType="begin"/>
          </w:r>
          <w:r>
            <w:rPr>
              <w:sz w:val="24"/>
              <w:szCs w:val="24"/>
            </w:rPr>
            <w:instrText xml:space="preserve"> PAGEREF _Toc14985 \h </w:instrText>
          </w:r>
          <w:r>
            <w:rPr>
              <w:sz w:val="24"/>
              <w:szCs w:val="24"/>
            </w:rPr>
            <w:fldChar w:fldCharType="separate"/>
          </w:r>
          <w:r>
            <w:rPr>
              <w:sz w:val="24"/>
              <w:szCs w:val="24"/>
            </w:rPr>
            <w:t>- 74 -</w:t>
          </w:r>
          <w:r>
            <w:rPr>
              <w:sz w:val="24"/>
              <w:szCs w:val="24"/>
            </w:rPr>
            <w:fldChar w:fldCharType="end"/>
          </w:r>
          <w:r>
            <w:rPr>
              <w:rFonts w:hint="eastAsia" w:ascii="Times New Roman" w:hAnsi="Times New Roman" w:eastAsia="方正小标宋_GBK" w:cs="Times New Roman"/>
              <w:color w:val="auto"/>
              <w:kern w:val="2"/>
              <w:sz w:val="24"/>
              <w:szCs w:val="24"/>
              <w:u w:val="none"/>
              <w:lang w:val="en-US" w:eastAsia="zh-CN" w:bidi="ar-SA"/>
            </w:rPr>
            <w:fldChar w:fldCharType="end"/>
          </w:r>
        </w:p>
        <w:p w14:paraId="79217A74">
          <w:pPr>
            <w:pStyle w:val="16"/>
            <w:tabs>
              <w:tab w:val="right" w:leader="dot" w:pos="9026"/>
            </w:tabs>
            <w:spacing w:line="360" w:lineRule="auto"/>
            <w:rPr>
              <w:sz w:val="24"/>
              <w:szCs w:val="24"/>
            </w:rPr>
          </w:pPr>
          <w:r>
            <w:rPr>
              <w:rFonts w:hint="eastAsia" w:ascii="Times New Roman" w:hAnsi="Times New Roman" w:eastAsia="方正小标宋_GBK" w:cs="Times New Roman"/>
              <w:color w:val="auto"/>
              <w:kern w:val="2"/>
              <w:sz w:val="24"/>
              <w:szCs w:val="24"/>
              <w:u w:val="none"/>
              <w:lang w:val="en-US" w:eastAsia="zh-CN" w:bidi="ar-SA"/>
            </w:rPr>
            <w:fldChar w:fldCharType="begin"/>
          </w:r>
          <w:r>
            <w:rPr>
              <w:rFonts w:hint="eastAsia" w:ascii="Times New Roman" w:hAnsi="Times New Roman" w:eastAsia="方正小标宋_GBK" w:cs="Times New Roman"/>
              <w:kern w:val="2"/>
              <w:sz w:val="24"/>
              <w:szCs w:val="24"/>
              <w:lang w:val="en-US" w:eastAsia="zh-CN" w:bidi="ar-SA"/>
            </w:rPr>
            <w:instrText xml:space="preserve"> HYPERLINK \l _Toc23850 </w:instrText>
          </w:r>
          <w:r>
            <w:rPr>
              <w:rFonts w:hint="eastAsia" w:ascii="Times New Roman" w:hAnsi="Times New Roman" w:eastAsia="方正小标宋_GBK" w:cs="Times New Roman"/>
              <w:kern w:val="2"/>
              <w:sz w:val="24"/>
              <w:szCs w:val="24"/>
              <w:lang w:val="en-US" w:eastAsia="zh-CN" w:bidi="ar-SA"/>
            </w:rPr>
            <w:fldChar w:fldCharType="separate"/>
          </w:r>
          <w:r>
            <w:rPr>
              <w:rFonts w:hint="eastAsia" w:ascii="Times New Roman" w:hAnsi="Times New Roman" w:eastAsia="方正小标宋_GBK" w:cs="Times New Roman"/>
              <w:kern w:val="2"/>
              <w:sz w:val="24"/>
              <w:szCs w:val="24"/>
              <w:highlight w:val="none"/>
              <w:lang w:val="en-US" w:eastAsia="zh-CN" w:bidi="ar-SA"/>
            </w:rPr>
            <w:t>第七章聚势城市更新，构建以人为本的新型城镇化</w:t>
          </w:r>
          <w:r>
            <w:rPr>
              <w:sz w:val="24"/>
              <w:szCs w:val="24"/>
            </w:rPr>
            <w:tab/>
          </w:r>
          <w:r>
            <w:rPr>
              <w:sz w:val="24"/>
              <w:szCs w:val="24"/>
            </w:rPr>
            <w:fldChar w:fldCharType="begin"/>
          </w:r>
          <w:r>
            <w:rPr>
              <w:sz w:val="24"/>
              <w:szCs w:val="24"/>
            </w:rPr>
            <w:instrText xml:space="preserve"> PAGEREF _Toc23850 \h </w:instrText>
          </w:r>
          <w:r>
            <w:rPr>
              <w:sz w:val="24"/>
              <w:szCs w:val="24"/>
            </w:rPr>
            <w:fldChar w:fldCharType="separate"/>
          </w:r>
          <w:r>
            <w:rPr>
              <w:sz w:val="24"/>
              <w:szCs w:val="24"/>
            </w:rPr>
            <w:t>- 74 -</w:t>
          </w:r>
          <w:r>
            <w:rPr>
              <w:sz w:val="24"/>
              <w:szCs w:val="24"/>
            </w:rPr>
            <w:fldChar w:fldCharType="end"/>
          </w:r>
          <w:r>
            <w:rPr>
              <w:rFonts w:hint="eastAsia" w:ascii="Times New Roman" w:hAnsi="Times New Roman" w:eastAsia="方正小标宋_GBK" w:cs="Times New Roman"/>
              <w:color w:val="auto"/>
              <w:kern w:val="2"/>
              <w:sz w:val="24"/>
              <w:szCs w:val="24"/>
              <w:u w:val="none"/>
              <w:lang w:val="en-US" w:eastAsia="zh-CN" w:bidi="ar-SA"/>
            </w:rPr>
            <w:fldChar w:fldCharType="end"/>
          </w:r>
        </w:p>
        <w:p w14:paraId="241910EF">
          <w:pPr>
            <w:pStyle w:val="11"/>
            <w:tabs>
              <w:tab w:val="right" w:leader="dot" w:pos="9026"/>
            </w:tabs>
            <w:spacing w:line="360" w:lineRule="auto"/>
            <w:rPr>
              <w:sz w:val="24"/>
              <w:szCs w:val="24"/>
            </w:rPr>
          </w:pPr>
          <w:r>
            <w:rPr>
              <w:rFonts w:hint="eastAsia" w:ascii="Times New Roman" w:hAnsi="Times New Roman" w:eastAsia="方正小标宋_GBK" w:cs="Times New Roman"/>
              <w:color w:val="auto"/>
              <w:kern w:val="2"/>
              <w:sz w:val="24"/>
              <w:szCs w:val="24"/>
              <w:u w:val="none"/>
              <w:lang w:val="en-US" w:eastAsia="zh-CN" w:bidi="ar-SA"/>
            </w:rPr>
            <w:fldChar w:fldCharType="begin"/>
          </w:r>
          <w:r>
            <w:rPr>
              <w:rFonts w:hint="eastAsia" w:ascii="Times New Roman" w:hAnsi="Times New Roman" w:eastAsia="方正小标宋_GBK" w:cs="Times New Roman"/>
              <w:kern w:val="2"/>
              <w:sz w:val="24"/>
              <w:szCs w:val="24"/>
              <w:lang w:val="en-US" w:eastAsia="zh-CN" w:bidi="ar-SA"/>
            </w:rPr>
            <w:instrText xml:space="preserve"> HYPERLINK \l _Toc142 </w:instrText>
          </w:r>
          <w:r>
            <w:rPr>
              <w:rFonts w:hint="eastAsia" w:ascii="Times New Roman" w:hAnsi="Times New Roman" w:eastAsia="方正小标宋_GBK" w:cs="Times New Roman"/>
              <w:kern w:val="2"/>
              <w:sz w:val="24"/>
              <w:szCs w:val="24"/>
              <w:lang w:val="en-US" w:eastAsia="zh-CN" w:bidi="ar-SA"/>
            </w:rPr>
            <w:fldChar w:fldCharType="separate"/>
          </w:r>
          <w:r>
            <w:rPr>
              <w:rFonts w:hint="eastAsia" w:ascii="Times New Roman" w:hAnsi="Times New Roman" w:eastAsia="黑体" w:cs="Times New Roman"/>
              <w:bCs/>
              <w:kern w:val="2"/>
              <w:sz w:val="24"/>
              <w:szCs w:val="24"/>
              <w:highlight w:val="none"/>
              <w:lang w:val="en-US" w:eastAsia="zh-CN" w:bidi="ar-SA"/>
            </w:rPr>
            <w:t>第一节统筹国土空间开发</w:t>
          </w:r>
          <w:r>
            <w:rPr>
              <w:sz w:val="24"/>
              <w:szCs w:val="24"/>
            </w:rPr>
            <w:tab/>
          </w:r>
          <w:r>
            <w:rPr>
              <w:sz w:val="24"/>
              <w:szCs w:val="24"/>
            </w:rPr>
            <w:fldChar w:fldCharType="begin"/>
          </w:r>
          <w:r>
            <w:rPr>
              <w:sz w:val="24"/>
              <w:szCs w:val="24"/>
            </w:rPr>
            <w:instrText xml:space="preserve"> PAGEREF _Toc142 \h </w:instrText>
          </w:r>
          <w:r>
            <w:rPr>
              <w:sz w:val="24"/>
              <w:szCs w:val="24"/>
            </w:rPr>
            <w:fldChar w:fldCharType="separate"/>
          </w:r>
          <w:r>
            <w:rPr>
              <w:sz w:val="24"/>
              <w:szCs w:val="24"/>
            </w:rPr>
            <w:t>- 74 -</w:t>
          </w:r>
          <w:r>
            <w:rPr>
              <w:sz w:val="24"/>
              <w:szCs w:val="24"/>
            </w:rPr>
            <w:fldChar w:fldCharType="end"/>
          </w:r>
          <w:r>
            <w:rPr>
              <w:rFonts w:hint="eastAsia" w:ascii="Times New Roman" w:hAnsi="Times New Roman" w:eastAsia="方正小标宋_GBK" w:cs="Times New Roman"/>
              <w:color w:val="auto"/>
              <w:kern w:val="2"/>
              <w:sz w:val="24"/>
              <w:szCs w:val="24"/>
              <w:u w:val="none"/>
              <w:lang w:val="en-US" w:eastAsia="zh-CN" w:bidi="ar-SA"/>
            </w:rPr>
            <w:fldChar w:fldCharType="end"/>
          </w:r>
        </w:p>
        <w:p w14:paraId="5C5E3445">
          <w:pPr>
            <w:pStyle w:val="11"/>
            <w:tabs>
              <w:tab w:val="right" w:leader="dot" w:pos="9026"/>
            </w:tabs>
            <w:spacing w:line="360" w:lineRule="auto"/>
            <w:rPr>
              <w:sz w:val="24"/>
              <w:szCs w:val="24"/>
            </w:rPr>
          </w:pPr>
          <w:r>
            <w:rPr>
              <w:rFonts w:hint="eastAsia" w:ascii="Times New Roman" w:hAnsi="Times New Roman" w:eastAsia="方正小标宋_GBK" w:cs="Times New Roman"/>
              <w:color w:val="auto"/>
              <w:kern w:val="2"/>
              <w:sz w:val="24"/>
              <w:szCs w:val="24"/>
              <w:u w:val="none"/>
              <w:lang w:val="en-US" w:eastAsia="zh-CN" w:bidi="ar-SA"/>
            </w:rPr>
            <w:fldChar w:fldCharType="begin"/>
          </w:r>
          <w:r>
            <w:rPr>
              <w:rFonts w:hint="eastAsia" w:ascii="Times New Roman" w:hAnsi="Times New Roman" w:eastAsia="方正小标宋_GBK" w:cs="Times New Roman"/>
              <w:kern w:val="2"/>
              <w:sz w:val="24"/>
              <w:szCs w:val="24"/>
              <w:lang w:val="en-US" w:eastAsia="zh-CN" w:bidi="ar-SA"/>
            </w:rPr>
            <w:instrText xml:space="preserve"> HYPERLINK \l _Toc8574 </w:instrText>
          </w:r>
          <w:r>
            <w:rPr>
              <w:rFonts w:hint="eastAsia" w:ascii="Times New Roman" w:hAnsi="Times New Roman" w:eastAsia="方正小标宋_GBK" w:cs="Times New Roman"/>
              <w:kern w:val="2"/>
              <w:sz w:val="24"/>
              <w:szCs w:val="24"/>
              <w:lang w:val="en-US" w:eastAsia="zh-CN" w:bidi="ar-SA"/>
            </w:rPr>
            <w:fldChar w:fldCharType="separate"/>
          </w:r>
          <w:r>
            <w:rPr>
              <w:rFonts w:hint="eastAsia" w:ascii="Times New Roman" w:hAnsi="Times New Roman" w:eastAsia="黑体" w:cs="Times New Roman"/>
              <w:bCs/>
              <w:kern w:val="2"/>
              <w:sz w:val="24"/>
              <w:szCs w:val="24"/>
              <w:highlight w:val="none"/>
              <w:lang w:val="en-US" w:eastAsia="zh-CN" w:bidi="ar-SA"/>
            </w:rPr>
            <w:t>第二节推动城市更新行动</w:t>
          </w:r>
          <w:r>
            <w:rPr>
              <w:sz w:val="24"/>
              <w:szCs w:val="24"/>
            </w:rPr>
            <w:tab/>
          </w:r>
          <w:r>
            <w:rPr>
              <w:sz w:val="24"/>
              <w:szCs w:val="24"/>
            </w:rPr>
            <w:fldChar w:fldCharType="begin"/>
          </w:r>
          <w:r>
            <w:rPr>
              <w:sz w:val="24"/>
              <w:szCs w:val="24"/>
            </w:rPr>
            <w:instrText xml:space="preserve"> PAGEREF _Toc8574 \h </w:instrText>
          </w:r>
          <w:r>
            <w:rPr>
              <w:sz w:val="24"/>
              <w:szCs w:val="24"/>
            </w:rPr>
            <w:fldChar w:fldCharType="separate"/>
          </w:r>
          <w:r>
            <w:rPr>
              <w:sz w:val="24"/>
              <w:szCs w:val="24"/>
            </w:rPr>
            <w:t>- 75 -</w:t>
          </w:r>
          <w:r>
            <w:rPr>
              <w:sz w:val="24"/>
              <w:szCs w:val="24"/>
            </w:rPr>
            <w:fldChar w:fldCharType="end"/>
          </w:r>
          <w:r>
            <w:rPr>
              <w:rFonts w:hint="eastAsia" w:ascii="Times New Roman" w:hAnsi="Times New Roman" w:eastAsia="方正小标宋_GBK" w:cs="Times New Roman"/>
              <w:color w:val="auto"/>
              <w:kern w:val="2"/>
              <w:sz w:val="24"/>
              <w:szCs w:val="24"/>
              <w:u w:val="none"/>
              <w:lang w:val="en-US" w:eastAsia="zh-CN" w:bidi="ar-SA"/>
            </w:rPr>
            <w:fldChar w:fldCharType="end"/>
          </w:r>
        </w:p>
        <w:p w14:paraId="0C0F0A47">
          <w:pPr>
            <w:pStyle w:val="11"/>
            <w:tabs>
              <w:tab w:val="right" w:leader="dot" w:pos="9026"/>
            </w:tabs>
            <w:spacing w:line="360" w:lineRule="auto"/>
            <w:rPr>
              <w:sz w:val="24"/>
              <w:szCs w:val="24"/>
            </w:rPr>
          </w:pPr>
          <w:r>
            <w:rPr>
              <w:rFonts w:hint="eastAsia" w:ascii="Times New Roman" w:hAnsi="Times New Roman" w:eastAsia="方正小标宋_GBK" w:cs="Times New Roman"/>
              <w:color w:val="auto"/>
              <w:kern w:val="2"/>
              <w:sz w:val="24"/>
              <w:szCs w:val="24"/>
              <w:u w:val="none"/>
              <w:lang w:val="en-US" w:eastAsia="zh-CN" w:bidi="ar-SA"/>
            </w:rPr>
            <w:fldChar w:fldCharType="begin"/>
          </w:r>
          <w:r>
            <w:rPr>
              <w:rFonts w:hint="eastAsia" w:ascii="Times New Roman" w:hAnsi="Times New Roman" w:eastAsia="方正小标宋_GBK" w:cs="Times New Roman"/>
              <w:kern w:val="2"/>
              <w:sz w:val="24"/>
              <w:szCs w:val="24"/>
              <w:lang w:val="en-US" w:eastAsia="zh-CN" w:bidi="ar-SA"/>
            </w:rPr>
            <w:instrText xml:space="preserve"> HYPERLINK \l _Toc22152 </w:instrText>
          </w:r>
          <w:r>
            <w:rPr>
              <w:rFonts w:hint="eastAsia" w:ascii="Times New Roman" w:hAnsi="Times New Roman" w:eastAsia="方正小标宋_GBK" w:cs="Times New Roman"/>
              <w:kern w:val="2"/>
              <w:sz w:val="24"/>
              <w:szCs w:val="24"/>
              <w:lang w:val="en-US" w:eastAsia="zh-CN" w:bidi="ar-SA"/>
            </w:rPr>
            <w:fldChar w:fldCharType="separate"/>
          </w:r>
          <w:r>
            <w:rPr>
              <w:rFonts w:hint="eastAsia" w:ascii="Times New Roman" w:hAnsi="Times New Roman" w:eastAsia="黑体" w:cs="Times New Roman"/>
              <w:bCs/>
              <w:kern w:val="2"/>
              <w:sz w:val="24"/>
              <w:szCs w:val="24"/>
              <w:highlight w:val="none"/>
              <w:lang w:val="en-US" w:eastAsia="zh-CN" w:bidi="ar-SA"/>
            </w:rPr>
            <w:t>第三节建设现代化人民城市</w:t>
          </w:r>
          <w:r>
            <w:rPr>
              <w:sz w:val="24"/>
              <w:szCs w:val="24"/>
            </w:rPr>
            <w:tab/>
          </w:r>
          <w:r>
            <w:rPr>
              <w:sz w:val="24"/>
              <w:szCs w:val="24"/>
            </w:rPr>
            <w:fldChar w:fldCharType="begin"/>
          </w:r>
          <w:r>
            <w:rPr>
              <w:sz w:val="24"/>
              <w:szCs w:val="24"/>
            </w:rPr>
            <w:instrText xml:space="preserve"> PAGEREF _Toc22152 \h </w:instrText>
          </w:r>
          <w:r>
            <w:rPr>
              <w:sz w:val="24"/>
              <w:szCs w:val="24"/>
            </w:rPr>
            <w:fldChar w:fldCharType="separate"/>
          </w:r>
          <w:r>
            <w:rPr>
              <w:sz w:val="24"/>
              <w:szCs w:val="24"/>
            </w:rPr>
            <w:t>- 78 -</w:t>
          </w:r>
          <w:r>
            <w:rPr>
              <w:sz w:val="24"/>
              <w:szCs w:val="24"/>
            </w:rPr>
            <w:fldChar w:fldCharType="end"/>
          </w:r>
          <w:r>
            <w:rPr>
              <w:rFonts w:hint="eastAsia" w:ascii="Times New Roman" w:hAnsi="Times New Roman" w:eastAsia="方正小标宋_GBK" w:cs="Times New Roman"/>
              <w:color w:val="auto"/>
              <w:kern w:val="2"/>
              <w:sz w:val="24"/>
              <w:szCs w:val="24"/>
              <w:u w:val="none"/>
              <w:lang w:val="en-US" w:eastAsia="zh-CN" w:bidi="ar-SA"/>
            </w:rPr>
            <w:fldChar w:fldCharType="end"/>
          </w:r>
        </w:p>
        <w:p w14:paraId="0353DD68">
          <w:pPr>
            <w:pStyle w:val="11"/>
            <w:tabs>
              <w:tab w:val="right" w:leader="dot" w:pos="9026"/>
            </w:tabs>
            <w:spacing w:line="360" w:lineRule="auto"/>
            <w:rPr>
              <w:sz w:val="24"/>
              <w:szCs w:val="24"/>
            </w:rPr>
          </w:pPr>
          <w:r>
            <w:rPr>
              <w:rFonts w:hint="eastAsia" w:ascii="Times New Roman" w:hAnsi="Times New Roman" w:eastAsia="方正小标宋_GBK" w:cs="Times New Roman"/>
              <w:color w:val="auto"/>
              <w:kern w:val="2"/>
              <w:sz w:val="24"/>
              <w:szCs w:val="24"/>
              <w:u w:val="none"/>
              <w:lang w:val="en-US" w:eastAsia="zh-CN" w:bidi="ar-SA"/>
            </w:rPr>
            <w:fldChar w:fldCharType="begin"/>
          </w:r>
          <w:r>
            <w:rPr>
              <w:rFonts w:hint="eastAsia" w:ascii="Times New Roman" w:hAnsi="Times New Roman" w:eastAsia="方正小标宋_GBK" w:cs="Times New Roman"/>
              <w:kern w:val="2"/>
              <w:sz w:val="24"/>
              <w:szCs w:val="24"/>
              <w:lang w:val="en-US" w:eastAsia="zh-CN" w:bidi="ar-SA"/>
            </w:rPr>
            <w:instrText xml:space="preserve"> HYPERLINK \l _Toc1099 </w:instrText>
          </w:r>
          <w:r>
            <w:rPr>
              <w:rFonts w:hint="eastAsia" w:ascii="Times New Roman" w:hAnsi="Times New Roman" w:eastAsia="方正小标宋_GBK" w:cs="Times New Roman"/>
              <w:kern w:val="2"/>
              <w:sz w:val="24"/>
              <w:szCs w:val="24"/>
              <w:lang w:val="en-US" w:eastAsia="zh-CN" w:bidi="ar-SA"/>
            </w:rPr>
            <w:fldChar w:fldCharType="separate"/>
          </w:r>
          <w:r>
            <w:rPr>
              <w:rFonts w:hint="eastAsia" w:ascii="Times New Roman" w:hAnsi="Times New Roman" w:eastAsia="黑体" w:cs="Times New Roman"/>
              <w:bCs/>
              <w:kern w:val="2"/>
              <w:sz w:val="24"/>
              <w:szCs w:val="24"/>
              <w:highlight w:val="none"/>
              <w:lang w:val="en-US" w:eastAsia="zh-CN" w:bidi="ar-SA"/>
            </w:rPr>
            <w:t>第四节协同推进城乡融合</w:t>
          </w:r>
          <w:r>
            <w:rPr>
              <w:sz w:val="24"/>
              <w:szCs w:val="24"/>
            </w:rPr>
            <w:tab/>
          </w:r>
          <w:r>
            <w:rPr>
              <w:sz w:val="24"/>
              <w:szCs w:val="24"/>
            </w:rPr>
            <w:fldChar w:fldCharType="begin"/>
          </w:r>
          <w:r>
            <w:rPr>
              <w:sz w:val="24"/>
              <w:szCs w:val="24"/>
            </w:rPr>
            <w:instrText xml:space="preserve"> PAGEREF _Toc1099 \h </w:instrText>
          </w:r>
          <w:r>
            <w:rPr>
              <w:sz w:val="24"/>
              <w:szCs w:val="24"/>
            </w:rPr>
            <w:fldChar w:fldCharType="separate"/>
          </w:r>
          <w:r>
            <w:rPr>
              <w:sz w:val="24"/>
              <w:szCs w:val="24"/>
            </w:rPr>
            <w:t>- 82 -</w:t>
          </w:r>
          <w:r>
            <w:rPr>
              <w:sz w:val="24"/>
              <w:szCs w:val="24"/>
            </w:rPr>
            <w:fldChar w:fldCharType="end"/>
          </w:r>
          <w:r>
            <w:rPr>
              <w:rFonts w:hint="eastAsia" w:ascii="Times New Roman" w:hAnsi="Times New Roman" w:eastAsia="方正小标宋_GBK" w:cs="Times New Roman"/>
              <w:color w:val="auto"/>
              <w:kern w:val="2"/>
              <w:sz w:val="24"/>
              <w:szCs w:val="24"/>
              <w:u w:val="none"/>
              <w:lang w:val="en-US" w:eastAsia="zh-CN" w:bidi="ar-SA"/>
            </w:rPr>
            <w:fldChar w:fldCharType="end"/>
          </w:r>
        </w:p>
        <w:p w14:paraId="68D5886D">
          <w:pPr>
            <w:pStyle w:val="16"/>
            <w:tabs>
              <w:tab w:val="right" w:leader="dot" w:pos="9026"/>
            </w:tabs>
            <w:spacing w:line="360" w:lineRule="auto"/>
            <w:rPr>
              <w:sz w:val="24"/>
              <w:szCs w:val="24"/>
            </w:rPr>
          </w:pPr>
          <w:r>
            <w:rPr>
              <w:rFonts w:hint="eastAsia" w:ascii="Times New Roman" w:hAnsi="Times New Roman" w:eastAsia="方正小标宋_GBK" w:cs="Times New Roman"/>
              <w:color w:val="auto"/>
              <w:kern w:val="2"/>
              <w:sz w:val="24"/>
              <w:szCs w:val="24"/>
              <w:u w:val="none"/>
              <w:lang w:val="en-US" w:eastAsia="zh-CN" w:bidi="ar-SA"/>
            </w:rPr>
            <w:fldChar w:fldCharType="begin"/>
          </w:r>
          <w:r>
            <w:rPr>
              <w:rFonts w:hint="eastAsia" w:ascii="Times New Roman" w:hAnsi="Times New Roman" w:eastAsia="方正小标宋_GBK" w:cs="Times New Roman"/>
              <w:kern w:val="2"/>
              <w:sz w:val="24"/>
              <w:szCs w:val="24"/>
              <w:lang w:val="en-US" w:eastAsia="zh-CN" w:bidi="ar-SA"/>
            </w:rPr>
            <w:instrText xml:space="preserve"> HYPERLINK \l _Toc5904 </w:instrText>
          </w:r>
          <w:r>
            <w:rPr>
              <w:rFonts w:hint="eastAsia" w:ascii="Times New Roman" w:hAnsi="Times New Roman" w:eastAsia="方正小标宋_GBK" w:cs="Times New Roman"/>
              <w:kern w:val="2"/>
              <w:sz w:val="24"/>
              <w:szCs w:val="24"/>
              <w:lang w:val="en-US" w:eastAsia="zh-CN" w:bidi="ar-SA"/>
            </w:rPr>
            <w:fldChar w:fldCharType="separate"/>
          </w:r>
          <w:r>
            <w:rPr>
              <w:rFonts w:hint="eastAsia" w:ascii="Times New Roman" w:hAnsi="Times New Roman" w:eastAsia="方正小标宋_GBK" w:cs="Times New Roman"/>
              <w:kern w:val="2"/>
              <w:sz w:val="24"/>
              <w:szCs w:val="24"/>
              <w:highlight w:val="none"/>
              <w:lang w:val="en-US" w:eastAsia="zh-CN" w:bidi="ar-SA"/>
            </w:rPr>
            <w:t>第八章厚植生态底色，建设绿色低碳美丽家园</w:t>
          </w:r>
          <w:r>
            <w:rPr>
              <w:sz w:val="24"/>
              <w:szCs w:val="24"/>
            </w:rPr>
            <w:tab/>
          </w:r>
          <w:r>
            <w:rPr>
              <w:sz w:val="24"/>
              <w:szCs w:val="24"/>
            </w:rPr>
            <w:fldChar w:fldCharType="begin"/>
          </w:r>
          <w:r>
            <w:rPr>
              <w:sz w:val="24"/>
              <w:szCs w:val="24"/>
            </w:rPr>
            <w:instrText xml:space="preserve"> PAGEREF _Toc5904 \h </w:instrText>
          </w:r>
          <w:r>
            <w:rPr>
              <w:sz w:val="24"/>
              <w:szCs w:val="24"/>
            </w:rPr>
            <w:fldChar w:fldCharType="separate"/>
          </w:r>
          <w:r>
            <w:rPr>
              <w:sz w:val="24"/>
              <w:szCs w:val="24"/>
            </w:rPr>
            <w:t>- 83 -</w:t>
          </w:r>
          <w:r>
            <w:rPr>
              <w:sz w:val="24"/>
              <w:szCs w:val="24"/>
            </w:rPr>
            <w:fldChar w:fldCharType="end"/>
          </w:r>
          <w:r>
            <w:rPr>
              <w:rFonts w:hint="eastAsia" w:ascii="Times New Roman" w:hAnsi="Times New Roman" w:eastAsia="方正小标宋_GBK" w:cs="Times New Roman"/>
              <w:color w:val="auto"/>
              <w:kern w:val="2"/>
              <w:sz w:val="24"/>
              <w:szCs w:val="24"/>
              <w:u w:val="none"/>
              <w:lang w:val="en-US" w:eastAsia="zh-CN" w:bidi="ar-SA"/>
            </w:rPr>
            <w:fldChar w:fldCharType="end"/>
          </w:r>
        </w:p>
        <w:p w14:paraId="2705C18B">
          <w:pPr>
            <w:pStyle w:val="11"/>
            <w:tabs>
              <w:tab w:val="right" w:leader="dot" w:pos="9026"/>
            </w:tabs>
            <w:spacing w:line="360" w:lineRule="auto"/>
            <w:rPr>
              <w:sz w:val="24"/>
              <w:szCs w:val="24"/>
            </w:rPr>
          </w:pPr>
          <w:r>
            <w:rPr>
              <w:rFonts w:hint="eastAsia" w:ascii="Times New Roman" w:hAnsi="Times New Roman" w:eastAsia="方正小标宋_GBK" w:cs="Times New Roman"/>
              <w:color w:val="auto"/>
              <w:kern w:val="2"/>
              <w:sz w:val="24"/>
              <w:szCs w:val="24"/>
              <w:u w:val="none"/>
              <w:lang w:val="en-US" w:eastAsia="zh-CN" w:bidi="ar-SA"/>
            </w:rPr>
            <w:fldChar w:fldCharType="begin"/>
          </w:r>
          <w:r>
            <w:rPr>
              <w:rFonts w:hint="eastAsia" w:ascii="Times New Roman" w:hAnsi="Times New Roman" w:eastAsia="方正小标宋_GBK" w:cs="Times New Roman"/>
              <w:kern w:val="2"/>
              <w:sz w:val="24"/>
              <w:szCs w:val="24"/>
              <w:lang w:val="en-US" w:eastAsia="zh-CN" w:bidi="ar-SA"/>
            </w:rPr>
            <w:instrText xml:space="preserve"> HYPERLINK \l _Toc17033 </w:instrText>
          </w:r>
          <w:r>
            <w:rPr>
              <w:rFonts w:hint="eastAsia" w:ascii="Times New Roman" w:hAnsi="Times New Roman" w:eastAsia="方正小标宋_GBK" w:cs="Times New Roman"/>
              <w:kern w:val="2"/>
              <w:sz w:val="24"/>
              <w:szCs w:val="24"/>
              <w:lang w:val="en-US" w:eastAsia="zh-CN" w:bidi="ar-SA"/>
            </w:rPr>
            <w:fldChar w:fldCharType="separate"/>
          </w:r>
          <w:r>
            <w:rPr>
              <w:rFonts w:hint="eastAsia" w:ascii="Times New Roman" w:hAnsi="Times New Roman" w:eastAsia="黑体" w:cs="Times New Roman"/>
              <w:bCs/>
              <w:kern w:val="2"/>
              <w:sz w:val="24"/>
              <w:szCs w:val="24"/>
              <w:highlight w:val="none"/>
              <w:lang w:val="en-US" w:eastAsia="zh-CN" w:bidi="ar-SA"/>
            </w:rPr>
            <w:t>第一节筑牢生态屏障</w:t>
          </w:r>
          <w:r>
            <w:rPr>
              <w:sz w:val="24"/>
              <w:szCs w:val="24"/>
            </w:rPr>
            <w:tab/>
          </w:r>
          <w:r>
            <w:rPr>
              <w:sz w:val="24"/>
              <w:szCs w:val="24"/>
            </w:rPr>
            <w:fldChar w:fldCharType="begin"/>
          </w:r>
          <w:r>
            <w:rPr>
              <w:sz w:val="24"/>
              <w:szCs w:val="24"/>
            </w:rPr>
            <w:instrText xml:space="preserve"> PAGEREF _Toc17033 \h </w:instrText>
          </w:r>
          <w:r>
            <w:rPr>
              <w:sz w:val="24"/>
              <w:szCs w:val="24"/>
            </w:rPr>
            <w:fldChar w:fldCharType="separate"/>
          </w:r>
          <w:r>
            <w:rPr>
              <w:sz w:val="24"/>
              <w:szCs w:val="24"/>
            </w:rPr>
            <w:t>- 83 -</w:t>
          </w:r>
          <w:r>
            <w:rPr>
              <w:sz w:val="24"/>
              <w:szCs w:val="24"/>
            </w:rPr>
            <w:fldChar w:fldCharType="end"/>
          </w:r>
          <w:r>
            <w:rPr>
              <w:rFonts w:hint="eastAsia" w:ascii="Times New Roman" w:hAnsi="Times New Roman" w:eastAsia="方正小标宋_GBK" w:cs="Times New Roman"/>
              <w:color w:val="auto"/>
              <w:kern w:val="2"/>
              <w:sz w:val="24"/>
              <w:szCs w:val="24"/>
              <w:u w:val="none"/>
              <w:lang w:val="en-US" w:eastAsia="zh-CN" w:bidi="ar-SA"/>
            </w:rPr>
            <w:fldChar w:fldCharType="end"/>
          </w:r>
        </w:p>
        <w:p w14:paraId="28172509">
          <w:pPr>
            <w:pStyle w:val="11"/>
            <w:tabs>
              <w:tab w:val="right" w:leader="dot" w:pos="9026"/>
            </w:tabs>
            <w:spacing w:line="360" w:lineRule="auto"/>
            <w:rPr>
              <w:sz w:val="24"/>
              <w:szCs w:val="24"/>
            </w:rPr>
          </w:pPr>
          <w:r>
            <w:rPr>
              <w:rFonts w:hint="eastAsia" w:ascii="Times New Roman" w:hAnsi="Times New Roman" w:eastAsia="方正小标宋_GBK" w:cs="Times New Roman"/>
              <w:color w:val="auto"/>
              <w:kern w:val="2"/>
              <w:sz w:val="24"/>
              <w:szCs w:val="24"/>
              <w:u w:val="none"/>
              <w:lang w:val="en-US" w:eastAsia="zh-CN" w:bidi="ar-SA"/>
            </w:rPr>
            <w:fldChar w:fldCharType="begin"/>
          </w:r>
          <w:r>
            <w:rPr>
              <w:rFonts w:hint="eastAsia" w:ascii="Times New Roman" w:hAnsi="Times New Roman" w:eastAsia="方正小标宋_GBK" w:cs="Times New Roman"/>
              <w:kern w:val="2"/>
              <w:sz w:val="24"/>
              <w:szCs w:val="24"/>
              <w:lang w:val="en-US" w:eastAsia="zh-CN" w:bidi="ar-SA"/>
            </w:rPr>
            <w:instrText xml:space="preserve"> HYPERLINK \l _Toc11507 </w:instrText>
          </w:r>
          <w:r>
            <w:rPr>
              <w:rFonts w:hint="eastAsia" w:ascii="Times New Roman" w:hAnsi="Times New Roman" w:eastAsia="方正小标宋_GBK" w:cs="Times New Roman"/>
              <w:kern w:val="2"/>
              <w:sz w:val="24"/>
              <w:szCs w:val="24"/>
              <w:lang w:val="en-US" w:eastAsia="zh-CN" w:bidi="ar-SA"/>
            </w:rPr>
            <w:fldChar w:fldCharType="separate"/>
          </w:r>
          <w:r>
            <w:rPr>
              <w:rFonts w:hint="eastAsia" w:ascii="Times New Roman" w:hAnsi="Times New Roman" w:eastAsia="黑体" w:cs="Times New Roman"/>
              <w:bCs/>
              <w:kern w:val="2"/>
              <w:sz w:val="24"/>
              <w:szCs w:val="24"/>
              <w:highlight w:val="none"/>
              <w:lang w:val="en-US" w:eastAsia="zh-CN" w:bidi="ar-SA"/>
            </w:rPr>
            <w:t>第二节提升污染防治能力</w:t>
          </w:r>
          <w:r>
            <w:rPr>
              <w:sz w:val="24"/>
              <w:szCs w:val="24"/>
            </w:rPr>
            <w:tab/>
          </w:r>
          <w:r>
            <w:rPr>
              <w:sz w:val="24"/>
              <w:szCs w:val="24"/>
            </w:rPr>
            <w:fldChar w:fldCharType="begin"/>
          </w:r>
          <w:r>
            <w:rPr>
              <w:sz w:val="24"/>
              <w:szCs w:val="24"/>
            </w:rPr>
            <w:instrText xml:space="preserve"> PAGEREF _Toc11507 \h </w:instrText>
          </w:r>
          <w:r>
            <w:rPr>
              <w:sz w:val="24"/>
              <w:szCs w:val="24"/>
            </w:rPr>
            <w:fldChar w:fldCharType="separate"/>
          </w:r>
          <w:r>
            <w:rPr>
              <w:sz w:val="24"/>
              <w:szCs w:val="24"/>
            </w:rPr>
            <w:t>- 84 -</w:t>
          </w:r>
          <w:r>
            <w:rPr>
              <w:sz w:val="24"/>
              <w:szCs w:val="24"/>
            </w:rPr>
            <w:fldChar w:fldCharType="end"/>
          </w:r>
          <w:r>
            <w:rPr>
              <w:rFonts w:hint="eastAsia" w:ascii="Times New Roman" w:hAnsi="Times New Roman" w:eastAsia="方正小标宋_GBK" w:cs="Times New Roman"/>
              <w:color w:val="auto"/>
              <w:kern w:val="2"/>
              <w:sz w:val="24"/>
              <w:szCs w:val="24"/>
              <w:u w:val="none"/>
              <w:lang w:val="en-US" w:eastAsia="zh-CN" w:bidi="ar-SA"/>
            </w:rPr>
            <w:fldChar w:fldCharType="end"/>
          </w:r>
        </w:p>
        <w:p w14:paraId="381A8752">
          <w:pPr>
            <w:pStyle w:val="11"/>
            <w:tabs>
              <w:tab w:val="right" w:leader="dot" w:pos="9026"/>
            </w:tabs>
            <w:spacing w:line="360" w:lineRule="auto"/>
            <w:rPr>
              <w:sz w:val="24"/>
              <w:szCs w:val="24"/>
            </w:rPr>
          </w:pPr>
          <w:r>
            <w:rPr>
              <w:rFonts w:hint="eastAsia" w:ascii="Times New Roman" w:hAnsi="Times New Roman" w:eastAsia="方正小标宋_GBK" w:cs="Times New Roman"/>
              <w:color w:val="auto"/>
              <w:kern w:val="2"/>
              <w:sz w:val="24"/>
              <w:szCs w:val="24"/>
              <w:u w:val="none"/>
              <w:lang w:val="en-US" w:eastAsia="zh-CN" w:bidi="ar-SA"/>
            </w:rPr>
            <w:fldChar w:fldCharType="begin"/>
          </w:r>
          <w:r>
            <w:rPr>
              <w:rFonts w:hint="eastAsia" w:ascii="Times New Roman" w:hAnsi="Times New Roman" w:eastAsia="方正小标宋_GBK" w:cs="Times New Roman"/>
              <w:kern w:val="2"/>
              <w:sz w:val="24"/>
              <w:szCs w:val="24"/>
              <w:lang w:val="en-US" w:eastAsia="zh-CN" w:bidi="ar-SA"/>
            </w:rPr>
            <w:instrText xml:space="preserve"> HYPERLINK \l _Toc7840 </w:instrText>
          </w:r>
          <w:r>
            <w:rPr>
              <w:rFonts w:hint="eastAsia" w:ascii="Times New Roman" w:hAnsi="Times New Roman" w:eastAsia="方正小标宋_GBK" w:cs="Times New Roman"/>
              <w:kern w:val="2"/>
              <w:sz w:val="24"/>
              <w:szCs w:val="24"/>
              <w:lang w:val="en-US" w:eastAsia="zh-CN" w:bidi="ar-SA"/>
            </w:rPr>
            <w:fldChar w:fldCharType="separate"/>
          </w:r>
          <w:r>
            <w:rPr>
              <w:rFonts w:hint="eastAsia" w:ascii="Times New Roman" w:hAnsi="Times New Roman" w:eastAsia="黑体" w:cs="Times New Roman"/>
              <w:bCs/>
              <w:kern w:val="2"/>
              <w:sz w:val="24"/>
              <w:szCs w:val="24"/>
              <w:highlight w:val="none"/>
              <w:lang w:val="en-US" w:eastAsia="zh-CN" w:bidi="ar-SA"/>
            </w:rPr>
            <w:t>第三节推进绿色低碳发展</w:t>
          </w:r>
          <w:r>
            <w:rPr>
              <w:sz w:val="24"/>
              <w:szCs w:val="24"/>
            </w:rPr>
            <w:tab/>
          </w:r>
          <w:r>
            <w:rPr>
              <w:sz w:val="24"/>
              <w:szCs w:val="24"/>
            </w:rPr>
            <w:fldChar w:fldCharType="begin"/>
          </w:r>
          <w:r>
            <w:rPr>
              <w:sz w:val="24"/>
              <w:szCs w:val="24"/>
            </w:rPr>
            <w:instrText xml:space="preserve"> PAGEREF _Toc7840 \h </w:instrText>
          </w:r>
          <w:r>
            <w:rPr>
              <w:sz w:val="24"/>
              <w:szCs w:val="24"/>
            </w:rPr>
            <w:fldChar w:fldCharType="separate"/>
          </w:r>
          <w:r>
            <w:rPr>
              <w:sz w:val="24"/>
              <w:szCs w:val="24"/>
            </w:rPr>
            <w:t>- 88 -</w:t>
          </w:r>
          <w:r>
            <w:rPr>
              <w:sz w:val="24"/>
              <w:szCs w:val="24"/>
            </w:rPr>
            <w:fldChar w:fldCharType="end"/>
          </w:r>
          <w:r>
            <w:rPr>
              <w:rFonts w:hint="eastAsia" w:ascii="Times New Roman" w:hAnsi="Times New Roman" w:eastAsia="方正小标宋_GBK" w:cs="Times New Roman"/>
              <w:color w:val="auto"/>
              <w:kern w:val="2"/>
              <w:sz w:val="24"/>
              <w:szCs w:val="24"/>
              <w:u w:val="none"/>
              <w:lang w:val="en-US" w:eastAsia="zh-CN" w:bidi="ar-SA"/>
            </w:rPr>
            <w:fldChar w:fldCharType="end"/>
          </w:r>
        </w:p>
        <w:p w14:paraId="668EBFD3">
          <w:pPr>
            <w:pStyle w:val="11"/>
            <w:tabs>
              <w:tab w:val="right" w:leader="dot" w:pos="9026"/>
            </w:tabs>
            <w:spacing w:line="360" w:lineRule="auto"/>
            <w:rPr>
              <w:sz w:val="24"/>
              <w:szCs w:val="24"/>
            </w:rPr>
          </w:pPr>
          <w:r>
            <w:rPr>
              <w:rFonts w:hint="eastAsia" w:ascii="Times New Roman" w:hAnsi="Times New Roman" w:eastAsia="方正小标宋_GBK" w:cs="Times New Roman"/>
              <w:color w:val="auto"/>
              <w:kern w:val="2"/>
              <w:sz w:val="24"/>
              <w:szCs w:val="24"/>
              <w:u w:val="none"/>
              <w:lang w:val="en-US" w:eastAsia="zh-CN" w:bidi="ar-SA"/>
            </w:rPr>
            <w:fldChar w:fldCharType="begin"/>
          </w:r>
          <w:r>
            <w:rPr>
              <w:rFonts w:hint="eastAsia" w:ascii="Times New Roman" w:hAnsi="Times New Roman" w:eastAsia="方正小标宋_GBK" w:cs="Times New Roman"/>
              <w:kern w:val="2"/>
              <w:sz w:val="24"/>
              <w:szCs w:val="24"/>
              <w:lang w:val="en-US" w:eastAsia="zh-CN" w:bidi="ar-SA"/>
            </w:rPr>
            <w:instrText xml:space="preserve"> HYPERLINK \l _Toc4234 </w:instrText>
          </w:r>
          <w:r>
            <w:rPr>
              <w:rFonts w:hint="eastAsia" w:ascii="Times New Roman" w:hAnsi="Times New Roman" w:eastAsia="方正小标宋_GBK" w:cs="Times New Roman"/>
              <w:kern w:val="2"/>
              <w:sz w:val="24"/>
              <w:szCs w:val="24"/>
              <w:lang w:val="en-US" w:eastAsia="zh-CN" w:bidi="ar-SA"/>
            </w:rPr>
            <w:fldChar w:fldCharType="separate"/>
          </w:r>
          <w:r>
            <w:rPr>
              <w:rFonts w:hint="eastAsia" w:ascii="Times New Roman" w:hAnsi="Times New Roman" w:eastAsia="黑体" w:cs="Times New Roman"/>
              <w:bCs/>
              <w:kern w:val="2"/>
              <w:sz w:val="24"/>
              <w:szCs w:val="24"/>
              <w:highlight w:val="none"/>
              <w:lang w:val="en-US" w:eastAsia="zh-CN" w:bidi="ar-SA"/>
            </w:rPr>
            <w:t>第四节激活生态产品价值</w:t>
          </w:r>
          <w:r>
            <w:rPr>
              <w:sz w:val="24"/>
              <w:szCs w:val="24"/>
            </w:rPr>
            <w:tab/>
          </w:r>
          <w:r>
            <w:rPr>
              <w:sz w:val="24"/>
              <w:szCs w:val="24"/>
            </w:rPr>
            <w:fldChar w:fldCharType="begin"/>
          </w:r>
          <w:r>
            <w:rPr>
              <w:sz w:val="24"/>
              <w:szCs w:val="24"/>
            </w:rPr>
            <w:instrText xml:space="preserve"> PAGEREF _Toc4234 \h </w:instrText>
          </w:r>
          <w:r>
            <w:rPr>
              <w:sz w:val="24"/>
              <w:szCs w:val="24"/>
            </w:rPr>
            <w:fldChar w:fldCharType="separate"/>
          </w:r>
          <w:r>
            <w:rPr>
              <w:sz w:val="24"/>
              <w:szCs w:val="24"/>
            </w:rPr>
            <w:t>- 89 -</w:t>
          </w:r>
          <w:r>
            <w:rPr>
              <w:sz w:val="24"/>
              <w:szCs w:val="24"/>
            </w:rPr>
            <w:fldChar w:fldCharType="end"/>
          </w:r>
          <w:r>
            <w:rPr>
              <w:rFonts w:hint="eastAsia" w:ascii="Times New Roman" w:hAnsi="Times New Roman" w:eastAsia="方正小标宋_GBK" w:cs="Times New Roman"/>
              <w:color w:val="auto"/>
              <w:kern w:val="2"/>
              <w:sz w:val="24"/>
              <w:szCs w:val="24"/>
              <w:u w:val="none"/>
              <w:lang w:val="en-US" w:eastAsia="zh-CN" w:bidi="ar-SA"/>
            </w:rPr>
            <w:fldChar w:fldCharType="end"/>
          </w:r>
        </w:p>
        <w:p w14:paraId="34487059">
          <w:pPr>
            <w:pStyle w:val="16"/>
            <w:tabs>
              <w:tab w:val="right" w:leader="dot" w:pos="9026"/>
            </w:tabs>
            <w:spacing w:line="360" w:lineRule="auto"/>
            <w:rPr>
              <w:sz w:val="24"/>
              <w:szCs w:val="24"/>
            </w:rPr>
          </w:pPr>
          <w:r>
            <w:rPr>
              <w:rFonts w:hint="eastAsia" w:ascii="Times New Roman" w:hAnsi="Times New Roman" w:eastAsia="方正小标宋_GBK" w:cs="Times New Roman"/>
              <w:color w:val="auto"/>
              <w:kern w:val="2"/>
              <w:sz w:val="24"/>
              <w:szCs w:val="24"/>
              <w:u w:val="none"/>
              <w:lang w:val="en-US" w:eastAsia="zh-CN" w:bidi="ar-SA"/>
            </w:rPr>
            <w:fldChar w:fldCharType="begin"/>
          </w:r>
          <w:r>
            <w:rPr>
              <w:rFonts w:hint="eastAsia" w:ascii="Times New Roman" w:hAnsi="Times New Roman" w:eastAsia="方正小标宋_GBK" w:cs="Times New Roman"/>
              <w:kern w:val="2"/>
              <w:sz w:val="24"/>
              <w:szCs w:val="24"/>
              <w:lang w:val="en-US" w:eastAsia="zh-CN" w:bidi="ar-SA"/>
            </w:rPr>
            <w:instrText xml:space="preserve"> HYPERLINK \l _Toc6380 </w:instrText>
          </w:r>
          <w:r>
            <w:rPr>
              <w:rFonts w:hint="eastAsia" w:ascii="Times New Roman" w:hAnsi="Times New Roman" w:eastAsia="方正小标宋_GBK" w:cs="Times New Roman"/>
              <w:kern w:val="2"/>
              <w:sz w:val="24"/>
              <w:szCs w:val="24"/>
              <w:lang w:val="en-US" w:eastAsia="zh-CN" w:bidi="ar-SA"/>
            </w:rPr>
            <w:fldChar w:fldCharType="separate"/>
          </w:r>
          <w:r>
            <w:rPr>
              <w:rFonts w:hint="eastAsia" w:ascii="Times New Roman" w:hAnsi="Times New Roman" w:eastAsia="方正小标宋_GBK" w:cs="Times New Roman"/>
              <w:kern w:val="2"/>
              <w:sz w:val="24"/>
              <w:szCs w:val="24"/>
              <w:highlight w:val="none"/>
              <w:lang w:val="en-US" w:eastAsia="zh-CN" w:bidi="ar-SA"/>
            </w:rPr>
            <w:t>第九章夯实发展根基，持续迭代升级基础设施</w:t>
          </w:r>
          <w:r>
            <w:rPr>
              <w:sz w:val="24"/>
              <w:szCs w:val="24"/>
            </w:rPr>
            <w:tab/>
          </w:r>
          <w:r>
            <w:rPr>
              <w:sz w:val="24"/>
              <w:szCs w:val="24"/>
            </w:rPr>
            <w:fldChar w:fldCharType="begin"/>
          </w:r>
          <w:r>
            <w:rPr>
              <w:sz w:val="24"/>
              <w:szCs w:val="24"/>
            </w:rPr>
            <w:instrText xml:space="preserve"> PAGEREF _Toc6380 \h </w:instrText>
          </w:r>
          <w:r>
            <w:rPr>
              <w:sz w:val="24"/>
              <w:szCs w:val="24"/>
            </w:rPr>
            <w:fldChar w:fldCharType="separate"/>
          </w:r>
          <w:r>
            <w:rPr>
              <w:sz w:val="24"/>
              <w:szCs w:val="24"/>
            </w:rPr>
            <w:t>- 91 -</w:t>
          </w:r>
          <w:r>
            <w:rPr>
              <w:sz w:val="24"/>
              <w:szCs w:val="24"/>
            </w:rPr>
            <w:fldChar w:fldCharType="end"/>
          </w:r>
          <w:r>
            <w:rPr>
              <w:rFonts w:hint="eastAsia" w:ascii="Times New Roman" w:hAnsi="Times New Roman" w:eastAsia="方正小标宋_GBK" w:cs="Times New Roman"/>
              <w:color w:val="auto"/>
              <w:kern w:val="2"/>
              <w:sz w:val="24"/>
              <w:szCs w:val="24"/>
              <w:u w:val="none"/>
              <w:lang w:val="en-US" w:eastAsia="zh-CN" w:bidi="ar-SA"/>
            </w:rPr>
            <w:fldChar w:fldCharType="end"/>
          </w:r>
        </w:p>
        <w:p w14:paraId="77CC2D03">
          <w:pPr>
            <w:pStyle w:val="11"/>
            <w:tabs>
              <w:tab w:val="right" w:leader="dot" w:pos="9026"/>
            </w:tabs>
            <w:spacing w:line="360" w:lineRule="auto"/>
            <w:rPr>
              <w:sz w:val="24"/>
              <w:szCs w:val="24"/>
            </w:rPr>
          </w:pPr>
          <w:r>
            <w:rPr>
              <w:rFonts w:hint="eastAsia" w:ascii="Times New Roman" w:hAnsi="Times New Roman" w:eastAsia="方正小标宋_GBK" w:cs="Times New Roman"/>
              <w:color w:val="auto"/>
              <w:kern w:val="2"/>
              <w:sz w:val="24"/>
              <w:szCs w:val="24"/>
              <w:u w:val="none"/>
              <w:lang w:val="en-US" w:eastAsia="zh-CN" w:bidi="ar-SA"/>
            </w:rPr>
            <w:fldChar w:fldCharType="begin"/>
          </w:r>
          <w:r>
            <w:rPr>
              <w:rFonts w:hint="eastAsia" w:ascii="Times New Roman" w:hAnsi="Times New Roman" w:eastAsia="方正小标宋_GBK" w:cs="Times New Roman"/>
              <w:kern w:val="2"/>
              <w:sz w:val="24"/>
              <w:szCs w:val="24"/>
              <w:lang w:val="en-US" w:eastAsia="zh-CN" w:bidi="ar-SA"/>
            </w:rPr>
            <w:instrText xml:space="preserve"> HYPERLINK \l _Toc3222 </w:instrText>
          </w:r>
          <w:r>
            <w:rPr>
              <w:rFonts w:hint="eastAsia" w:ascii="Times New Roman" w:hAnsi="Times New Roman" w:eastAsia="方正小标宋_GBK" w:cs="Times New Roman"/>
              <w:kern w:val="2"/>
              <w:sz w:val="24"/>
              <w:szCs w:val="24"/>
              <w:lang w:val="en-US" w:eastAsia="zh-CN" w:bidi="ar-SA"/>
            </w:rPr>
            <w:fldChar w:fldCharType="separate"/>
          </w:r>
          <w:r>
            <w:rPr>
              <w:rFonts w:hint="eastAsia" w:ascii="Times New Roman" w:hAnsi="Times New Roman" w:eastAsia="黑体" w:cs="Times New Roman"/>
              <w:bCs/>
              <w:kern w:val="2"/>
              <w:sz w:val="24"/>
              <w:szCs w:val="24"/>
              <w:highlight w:val="none"/>
              <w:lang w:val="en-US" w:eastAsia="zh-CN" w:bidi="ar-SA"/>
            </w:rPr>
            <w:t>第一节构建内畅外联现代路网</w:t>
          </w:r>
          <w:r>
            <w:rPr>
              <w:sz w:val="24"/>
              <w:szCs w:val="24"/>
            </w:rPr>
            <w:tab/>
          </w:r>
          <w:r>
            <w:rPr>
              <w:sz w:val="24"/>
              <w:szCs w:val="24"/>
            </w:rPr>
            <w:fldChar w:fldCharType="begin"/>
          </w:r>
          <w:r>
            <w:rPr>
              <w:sz w:val="24"/>
              <w:szCs w:val="24"/>
            </w:rPr>
            <w:instrText xml:space="preserve"> PAGEREF _Toc3222 \h </w:instrText>
          </w:r>
          <w:r>
            <w:rPr>
              <w:sz w:val="24"/>
              <w:szCs w:val="24"/>
            </w:rPr>
            <w:fldChar w:fldCharType="separate"/>
          </w:r>
          <w:r>
            <w:rPr>
              <w:sz w:val="24"/>
              <w:szCs w:val="24"/>
            </w:rPr>
            <w:t>- 91 -</w:t>
          </w:r>
          <w:r>
            <w:rPr>
              <w:sz w:val="24"/>
              <w:szCs w:val="24"/>
            </w:rPr>
            <w:fldChar w:fldCharType="end"/>
          </w:r>
          <w:r>
            <w:rPr>
              <w:rFonts w:hint="eastAsia" w:ascii="Times New Roman" w:hAnsi="Times New Roman" w:eastAsia="方正小标宋_GBK" w:cs="Times New Roman"/>
              <w:color w:val="auto"/>
              <w:kern w:val="2"/>
              <w:sz w:val="24"/>
              <w:szCs w:val="24"/>
              <w:u w:val="none"/>
              <w:lang w:val="en-US" w:eastAsia="zh-CN" w:bidi="ar-SA"/>
            </w:rPr>
            <w:fldChar w:fldCharType="end"/>
          </w:r>
        </w:p>
        <w:p w14:paraId="3D82BAE2">
          <w:pPr>
            <w:pStyle w:val="11"/>
            <w:tabs>
              <w:tab w:val="right" w:leader="dot" w:pos="9026"/>
            </w:tabs>
            <w:spacing w:line="360" w:lineRule="auto"/>
            <w:rPr>
              <w:sz w:val="24"/>
              <w:szCs w:val="24"/>
            </w:rPr>
          </w:pPr>
          <w:r>
            <w:rPr>
              <w:rFonts w:hint="eastAsia" w:ascii="Times New Roman" w:hAnsi="Times New Roman" w:eastAsia="方正小标宋_GBK" w:cs="Times New Roman"/>
              <w:color w:val="auto"/>
              <w:kern w:val="2"/>
              <w:sz w:val="24"/>
              <w:szCs w:val="24"/>
              <w:u w:val="none"/>
              <w:lang w:val="en-US" w:eastAsia="zh-CN" w:bidi="ar-SA"/>
            </w:rPr>
            <w:fldChar w:fldCharType="begin"/>
          </w:r>
          <w:r>
            <w:rPr>
              <w:rFonts w:hint="eastAsia" w:ascii="Times New Roman" w:hAnsi="Times New Roman" w:eastAsia="方正小标宋_GBK" w:cs="Times New Roman"/>
              <w:kern w:val="2"/>
              <w:sz w:val="24"/>
              <w:szCs w:val="24"/>
              <w:lang w:val="en-US" w:eastAsia="zh-CN" w:bidi="ar-SA"/>
            </w:rPr>
            <w:instrText xml:space="preserve"> HYPERLINK \l _Toc21912 </w:instrText>
          </w:r>
          <w:r>
            <w:rPr>
              <w:rFonts w:hint="eastAsia" w:ascii="Times New Roman" w:hAnsi="Times New Roman" w:eastAsia="方正小标宋_GBK" w:cs="Times New Roman"/>
              <w:kern w:val="2"/>
              <w:sz w:val="24"/>
              <w:szCs w:val="24"/>
              <w:lang w:val="en-US" w:eastAsia="zh-CN" w:bidi="ar-SA"/>
            </w:rPr>
            <w:fldChar w:fldCharType="separate"/>
          </w:r>
          <w:r>
            <w:rPr>
              <w:rFonts w:hint="eastAsia" w:ascii="Times New Roman" w:hAnsi="Times New Roman" w:eastAsia="黑体" w:cs="Times New Roman"/>
              <w:bCs/>
              <w:kern w:val="2"/>
              <w:sz w:val="24"/>
              <w:szCs w:val="24"/>
              <w:highlight w:val="none"/>
              <w:lang w:val="en-US" w:eastAsia="zh-CN" w:bidi="ar-SA"/>
            </w:rPr>
            <w:t>第二节建设节水高效现代水网</w:t>
          </w:r>
          <w:r>
            <w:rPr>
              <w:sz w:val="24"/>
              <w:szCs w:val="24"/>
            </w:rPr>
            <w:tab/>
          </w:r>
          <w:r>
            <w:rPr>
              <w:sz w:val="24"/>
              <w:szCs w:val="24"/>
            </w:rPr>
            <w:fldChar w:fldCharType="begin"/>
          </w:r>
          <w:r>
            <w:rPr>
              <w:sz w:val="24"/>
              <w:szCs w:val="24"/>
            </w:rPr>
            <w:instrText xml:space="preserve"> PAGEREF _Toc21912 \h </w:instrText>
          </w:r>
          <w:r>
            <w:rPr>
              <w:sz w:val="24"/>
              <w:szCs w:val="24"/>
            </w:rPr>
            <w:fldChar w:fldCharType="separate"/>
          </w:r>
          <w:r>
            <w:rPr>
              <w:sz w:val="24"/>
              <w:szCs w:val="24"/>
            </w:rPr>
            <w:t>- 94 -</w:t>
          </w:r>
          <w:r>
            <w:rPr>
              <w:sz w:val="24"/>
              <w:szCs w:val="24"/>
            </w:rPr>
            <w:fldChar w:fldCharType="end"/>
          </w:r>
          <w:r>
            <w:rPr>
              <w:rFonts w:hint="eastAsia" w:ascii="Times New Roman" w:hAnsi="Times New Roman" w:eastAsia="方正小标宋_GBK" w:cs="Times New Roman"/>
              <w:color w:val="auto"/>
              <w:kern w:val="2"/>
              <w:sz w:val="24"/>
              <w:szCs w:val="24"/>
              <w:u w:val="none"/>
              <w:lang w:val="en-US" w:eastAsia="zh-CN" w:bidi="ar-SA"/>
            </w:rPr>
            <w:fldChar w:fldCharType="end"/>
          </w:r>
        </w:p>
        <w:p w14:paraId="047BCA9E">
          <w:pPr>
            <w:pStyle w:val="11"/>
            <w:tabs>
              <w:tab w:val="right" w:leader="dot" w:pos="9026"/>
            </w:tabs>
            <w:spacing w:line="360" w:lineRule="auto"/>
            <w:rPr>
              <w:sz w:val="24"/>
              <w:szCs w:val="24"/>
            </w:rPr>
          </w:pPr>
          <w:r>
            <w:rPr>
              <w:rFonts w:hint="eastAsia" w:ascii="Times New Roman" w:hAnsi="Times New Roman" w:eastAsia="方正小标宋_GBK" w:cs="Times New Roman"/>
              <w:color w:val="auto"/>
              <w:kern w:val="2"/>
              <w:sz w:val="24"/>
              <w:szCs w:val="24"/>
              <w:u w:val="none"/>
              <w:lang w:val="en-US" w:eastAsia="zh-CN" w:bidi="ar-SA"/>
            </w:rPr>
            <w:fldChar w:fldCharType="begin"/>
          </w:r>
          <w:r>
            <w:rPr>
              <w:rFonts w:hint="eastAsia" w:ascii="Times New Roman" w:hAnsi="Times New Roman" w:eastAsia="方正小标宋_GBK" w:cs="Times New Roman"/>
              <w:kern w:val="2"/>
              <w:sz w:val="24"/>
              <w:szCs w:val="24"/>
              <w:lang w:val="en-US" w:eastAsia="zh-CN" w:bidi="ar-SA"/>
            </w:rPr>
            <w:instrText xml:space="preserve"> HYPERLINK \l _Toc28482 </w:instrText>
          </w:r>
          <w:r>
            <w:rPr>
              <w:rFonts w:hint="eastAsia" w:ascii="Times New Roman" w:hAnsi="Times New Roman" w:eastAsia="方正小标宋_GBK" w:cs="Times New Roman"/>
              <w:kern w:val="2"/>
              <w:sz w:val="24"/>
              <w:szCs w:val="24"/>
              <w:lang w:val="en-US" w:eastAsia="zh-CN" w:bidi="ar-SA"/>
            </w:rPr>
            <w:fldChar w:fldCharType="separate"/>
          </w:r>
          <w:r>
            <w:rPr>
              <w:rFonts w:hint="eastAsia" w:ascii="Times New Roman" w:hAnsi="Times New Roman" w:eastAsia="黑体" w:cs="Times New Roman"/>
              <w:bCs/>
              <w:kern w:val="2"/>
              <w:sz w:val="24"/>
              <w:szCs w:val="24"/>
              <w:highlight w:val="none"/>
              <w:lang w:val="en-US" w:eastAsia="zh-CN" w:bidi="ar-SA"/>
            </w:rPr>
            <w:t>第三节打造清洁可靠能源保障</w:t>
          </w:r>
          <w:r>
            <w:rPr>
              <w:sz w:val="24"/>
              <w:szCs w:val="24"/>
            </w:rPr>
            <w:tab/>
          </w:r>
          <w:r>
            <w:rPr>
              <w:sz w:val="24"/>
              <w:szCs w:val="24"/>
            </w:rPr>
            <w:fldChar w:fldCharType="begin"/>
          </w:r>
          <w:r>
            <w:rPr>
              <w:sz w:val="24"/>
              <w:szCs w:val="24"/>
            </w:rPr>
            <w:instrText xml:space="preserve"> PAGEREF _Toc28482 \h </w:instrText>
          </w:r>
          <w:r>
            <w:rPr>
              <w:sz w:val="24"/>
              <w:szCs w:val="24"/>
            </w:rPr>
            <w:fldChar w:fldCharType="separate"/>
          </w:r>
          <w:r>
            <w:rPr>
              <w:sz w:val="24"/>
              <w:szCs w:val="24"/>
            </w:rPr>
            <w:t>- 98 -</w:t>
          </w:r>
          <w:r>
            <w:rPr>
              <w:sz w:val="24"/>
              <w:szCs w:val="24"/>
            </w:rPr>
            <w:fldChar w:fldCharType="end"/>
          </w:r>
          <w:r>
            <w:rPr>
              <w:rFonts w:hint="eastAsia" w:ascii="Times New Roman" w:hAnsi="Times New Roman" w:eastAsia="方正小标宋_GBK" w:cs="Times New Roman"/>
              <w:color w:val="auto"/>
              <w:kern w:val="2"/>
              <w:sz w:val="24"/>
              <w:szCs w:val="24"/>
              <w:u w:val="none"/>
              <w:lang w:val="en-US" w:eastAsia="zh-CN" w:bidi="ar-SA"/>
            </w:rPr>
            <w:fldChar w:fldCharType="end"/>
          </w:r>
        </w:p>
        <w:p w14:paraId="711CFDB8">
          <w:pPr>
            <w:pStyle w:val="11"/>
            <w:tabs>
              <w:tab w:val="right" w:leader="dot" w:pos="9026"/>
            </w:tabs>
            <w:spacing w:line="360" w:lineRule="auto"/>
            <w:rPr>
              <w:sz w:val="24"/>
              <w:szCs w:val="24"/>
            </w:rPr>
          </w:pPr>
          <w:r>
            <w:rPr>
              <w:rFonts w:hint="eastAsia" w:ascii="Times New Roman" w:hAnsi="Times New Roman" w:eastAsia="方正小标宋_GBK" w:cs="Times New Roman"/>
              <w:color w:val="auto"/>
              <w:kern w:val="2"/>
              <w:sz w:val="24"/>
              <w:szCs w:val="24"/>
              <w:u w:val="none"/>
              <w:lang w:val="en-US" w:eastAsia="zh-CN" w:bidi="ar-SA"/>
            </w:rPr>
            <w:fldChar w:fldCharType="begin"/>
          </w:r>
          <w:r>
            <w:rPr>
              <w:rFonts w:hint="eastAsia" w:ascii="Times New Roman" w:hAnsi="Times New Roman" w:eastAsia="方正小标宋_GBK" w:cs="Times New Roman"/>
              <w:kern w:val="2"/>
              <w:sz w:val="24"/>
              <w:szCs w:val="24"/>
              <w:lang w:val="en-US" w:eastAsia="zh-CN" w:bidi="ar-SA"/>
            </w:rPr>
            <w:instrText xml:space="preserve"> HYPERLINK \l _Toc25127 </w:instrText>
          </w:r>
          <w:r>
            <w:rPr>
              <w:rFonts w:hint="eastAsia" w:ascii="Times New Roman" w:hAnsi="Times New Roman" w:eastAsia="方正小标宋_GBK" w:cs="Times New Roman"/>
              <w:kern w:val="2"/>
              <w:sz w:val="24"/>
              <w:szCs w:val="24"/>
              <w:lang w:val="en-US" w:eastAsia="zh-CN" w:bidi="ar-SA"/>
            </w:rPr>
            <w:fldChar w:fldCharType="separate"/>
          </w:r>
          <w:r>
            <w:rPr>
              <w:rFonts w:hint="eastAsia" w:ascii="Times New Roman" w:hAnsi="Times New Roman" w:eastAsia="黑体" w:cs="Times New Roman"/>
              <w:bCs/>
              <w:kern w:val="2"/>
              <w:sz w:val="24"/>
              <w:szCs w:val="24"/>
              <w:highlight w:val="none"/>
              <w:lang w:val="en-US" w:eastAsia="zh-CN" w:bidi="ar-SA"/>
            </w:rPr>
            <w:t>第四节布局集约共享新型基建</w:t>
          </w:r>
          <w:r>
            <w:rPr>
              <w:sz w:val="24"/>
              <w:szCs w:val="24"/>
            </w:rPr>
            <w:tab/>
          </w:r>
          <w:r>
            <w:rPr>
              <w:sz w:val="24"/>
              <w:szCs w:val="24"/>
            </w:rPr>
            <w:fldChar w:fldCharType="begin"/>
          </w:r>
          <w:r>
            <w:rPr>
              <w:sz w:val="24"/>
              <w:szCs w:val="24"/>
            </w:rPr>
            <w:instrText xml:space="preserve"> PAGEREF _Toc25127 \h </w:instrText>
          </w:r>
          <w:r>
            <w:rPr>
              <w:sz w:val="24"/>
              <w:szCs w:val="24"/>
            </w:rPr>
            <w:fldChar w:fldCharType="separate"/>
          </w:r>
          <w:r>
            <w:rPr>
              <w:sz w:val="24"/>
              <w:szCs w:val="24"/>
            </w:rPr>
            <w:t>- 99 -</w:t>
          </w:r>
          <w:r>
            <w:rPr>
              <w:sz w:val="24"/>
              <w:szCs w:val="24"/>
            </w:rPr>
            <w:fldChar w:fldCharType="end"/>
          </w:r>
          <w:r>
            <w:rPr>
              <w:rFonts w:hint="eastAsia" w:ascii="Times New Roman" w:hAnsi="Times New Roman" w:eastAsia="方正小标宋_GBK" w:cs="Times New Roman"/>
              <w:color w:val="auto"/>
              <w:kern w:val="2"/>
              <w:sz w:val="24"/>
              <w:szCs w:val="24"/>
              <w:u w:val="none"/>
              <w:lang w:val="en-US" w:eastAsia="zh-CN" w:bidi="ar-SA"/>
            </w:rPr>
            <w:fldChar w:fldCharType="end"/>
          </w:r>
        </w:p>
        <w:p w14:paraId="614F9EC7">
          <w:pPr>
            <w:pStyle w:val="14"/>
            <w:tabs>
              <w:tab w:val="right" w:leader="dot" w:pos="9026"/>
            </w:tabs>
            <w:spacing w:line="360" w:lineRule="auto"/>
            <w:rPr>
              <w:sz w:val="24"/>
              <w:szCs w:val="24"/>
            </w:rPr>
          </w:pPr>
          <w:r>
            <w:rPr>
              <w:rFonts w:hint="eastAsia" w:ascii="Times New Roman" w:hAnsi="Times New Roman" w:eastAsia="方正小标宋_GBK" w:cs="Times New Roman"/>
              <w:color w:val="auto"/>
              <w:kern w:val="2"/>
              <w:sz w:val="24"/>
              <w:szCs w:val="24"/>
              <w:u w:val="none"/>
              <w:lang w:val="en-US" w:eastAsia="zh-CN" w:bidi="ar-SA"/>
            </w:rPr>
            <w:fldChar w:fldCharType="begin"/>
          </w:r>
          <w:r>
            <w:rPr>
              <w:rFonts w:hint="eastAsia" w:ascii="Times New Roman" w:hAnsi="Times New Roman" w:eastAsia="方正小标宋_GBK" w:cs="Times New Roman"/>
              <w:kern w:val="2"/>
              <w:sz w:val="24"/>
              <w:szCs w:val="24"/>
              <w:lang w:val="en-US" w:eastAsia="zh-CN" w:bidi="ar-SA"/>
            </w:rPr>
            <w:instrText xml:space="preserve"> HYPERLINK \l _Toc12284 </w:instrText>
          </w:r>
          <w:r>
            <w:rPr>
              <w:rFonts w:hint="eastAsia" w:ascii="Times New Roman" w:hAnsi="Times New Roman" w:eastAsia="方正小标宋_GBK" w:cs="Times New Roman"/>
              <w:kern w:val="2"/>
              <w:sz w:val="24"/>
              <w:szCs w:val="24"/>
              <w:lang w:val="en-US" w:eastAsia="zh-CN" w:bidi="ar-SA"/>
            </w:rPr>
            <w:fldChar w:fldCharType="separate"/>
          </w:r>
          <w:r>
            <w:rPr>
              <w:rFonts w:hint="eastAsia" w:ascii="Times New Roman" w:hAnsi="Times New Roman" w:eastAsia="方正小标宋_GBK" w:cs="Times New Roman"/>
              <w:kern w:val="2"/>
              <w:sz w:val="24"/>
              <w:szCs w:val="24"/>
              <w:highlight w:val="none"/>
              <w:lang w:val="en-US" w:eastAsia="zh-CN" w:bidi="ar-SA"/>
            </w:rPr>
            <w:t>板块四：对外开放和招商引资</w:t>
          </w:r>
          <w:r>
            <w:rPr>
              <w:sz w:val="24"/>
              <w:szCs w:val="24"/>
            </w:rPr>
            <w:tab/>
          </w:r>
          <w:r>
            <w:rPr>
              <w:sz w:val="24"/>
              <w:szCs w:val="24"/>
            </w:rPr>
            <w:fldChar w:fldCharType="begin"/>
          </w:r>
          <w:r>
            <w:rPr>
              <w:sz w:val="24"/>
              <w:szCs w:val="24"/>
            </w:rPr>
            <w:instrText xml:space="preserve"> PAGEREF _Toc12284 \h </w:instrText>
          </w:r>
          <w:r>
            <w:rPr>
              <w:sz w:val="24"/>
              <w:szCs w:val="24"/>
            </w:rPr>
            <w:fldChar w:fldCharType="separate"/>
          </w:r>
          <w:r>
            <w:rPr>
              <w:sz w:val="24"/>
              <w:szCs w:val="24"/>
            </w:rPr>
            <w:t>- 102 -</w:t>
          </w:r>
          <w:r>
            <w:rPr>
              <w:sz w:val="24"/>
              <w:szCs w:val="24"/>
            </w:rPr>
            <w:fldChar w:fldCharType="end"/>
          </w:r>
          <w:r>
            <w:rPr>
              <w:rFonts w:hint="eastAsia" w:ascii="Times New Roman" w:hAnsi="Times New Roman" w:eastAsia="方正小标宋_GBK" w:cs="Times New Roman"/>
              <w:color w:val="auto"/>
              <w:kern w:val="2"/>
              <w:sz w:val="24"/>
              <w:szCs w:val="24"/>
              <w:u w:val="none"/>
              <w:lang w:val="en-US" w:eastAsia="zh-CN" w:bidi="ar-SA"/>
            </w:rPr>
            <w:fldChar w:fldCharType="end"/>
          </w:r>
        </w:p>
        <w:p w14:paraId="1E21D3AB">
          <w:pPr>
            <w:pStyle w:val="16"/>
            <w:tabs>
              <w:tab w:val="right" w:leader="dot" w:pos="9026"/>
            </w:tabs>
            <w:spacing w:line="360" w:lineRule="auto"/>
            <w:rPr>
              <w:sz w:val="24"/>
              <w:szCs w:val="24"/>
            </w:rPr>
          </w:pPr>
          <w:r>
            <w:rPr>
              <w:rFonts w:hint="eastAsia" w:ascii="Times New Roman" w:hAnsi="Times New Roman" w:eastAsia="方正小标宋_GBK" w:cs="Times New Roman"/>
              <w:color w:val="auto"/>
              <w:kern w:val="2"/>
              <w:sz w:val="24"/>
              <w:szCs w:val="24"/>
              <w:u w:val="none"/>
              <w:lang w:val="en-US" w:eastAsia="zh-CN" w:bidi="ar-SA"/>
            </w:rPr>
            <w:fldChar w:fldCharType="begin"/>
          </w:r>
          <w:r>
            <w:rPr>
              <w:rFonts w:hint="eastAsia" w:ascii="Times New Roman" w:hAnsi="Times New Roman" w:eastAsia="方正小标宋_GBK" w:cs="Times New Roman"/>
              <w:kern w:val="2"/>
              <w:sz w:val="24"/>
              <w:szCs w:val="24"/>
              <w:lang w:val="en-US" w:eastAsia="zh-CN" w:bidi="ar-SA"/>
            </w:rPr>
            <w:instrText xml:space="preserve"> HYPERLINK \l _Toc24672 </w:instrText>
          </w:r>
          <w:r>
            <w:rPr>
              <w:rFonts w:hint="eastAsia" w:ascii="Times New Roman" w:hAnsi="Times New Roman" w:eastAsia="方正小标宋_GBK" w:cs="Times New Roman"/>
              <w:kern w:val="2"/>
              <w:sz w:val="24"/>
              <w:szCs w:val="24"/>
              <w:lang w:val="en-US" w:eastAsia="zh-CN" w:bidi="ar-SA"/>
            </w:rPr>
            <w:fldChar w:fldCharType="separate"/>
          </w:r>
          <w:r>
            <w:rPr>
              <w:rFonts w:hint="eastAsia" w:ascii="Times New Roman" w:hAnsi="Times New Roman" w:eastAsia="方正小标宋_GBK" w:cs="Times New Roman"/>
              <w:kern w:val="2"/>
              <w:sz w:val="24"/>
              <w:szCs w:val="24"/>
              <w:highlight w:val="none"/>
              <w:lang w:val="en-US" w:eastAsia="zh-CN" w:bidi="ar-SA"/>
            </w:rPr>
            <w:t>第十章畅通内外循环，全面融入全国统一大市场</w:t>
          </w:r>
          <w:r>
            <w:rPr>
              <w:sz w:val="24"/>
              <w:szCs w:val="24"/>
            </w:rPr>
            <w:tab/>
          </w:r>
          <w:r>
            <w:rPr>
              <w:sz w:val="24"/>
              <w:szCs w:val="24"/>
            </w:rPr>
            <w:fldChar w:fldCharType="begin"/>
          </w:r>
          <w:r>
            <w:rPr>
              <w:sz w:val="24"/>
              <w:szCs w:val="24"/>
            </w:rPr>
            <w:instrText xml:space="preserve"> PAGEREF _Toc24672 \h </w:instrText>
          </w:r>
          <w:r>
            <w:rPr>
              <w:sz w:val="24"/>
              <w:szCs w:val="24"/>
            </w:rPr>
            <w:fldChar w:fldCharType="separate"/>
          </w:r>
          <w:r>
            <w:rPr>
              <w:sz w:val="24"/>
              <w:szCs w:val="24"/>
            </w:rPr>
            <w:t>- 102 -</w:t>
          </w:r>
          <w:r>
            <w:rPr>
              <w:sz w:val="24"/>
              <w:szCs w:val="24"/>
            </w:rPr>
            <w:fldChar w:fldCharType="end"/>
          </w:r>
          <w:r>
            <w:rPr>
              <w:rFonts w:hint="eastAsia" w:ascii="Times New Roman" w:hAnsi="Times New Roman" w:eastAsia="方正小标宋_GBK" w:cs="Times New Roman"/>
              <w:color w:val="auto"/>
              <w:kern w:val="2"/>
              <w:sz w:val="24"/>
              <w:szCs w:val="24"/>
              <w:u w:val="none"/>
              <w:lang w:val="en-US" w:eastAsia="zh-CN" w:bidi="ar-SA"/>
            </w:rPr>
            <w:fldChar w:fldCharType="end"/>
          </w:r>
        </w:p>
        <w:p w14:paraId="333A210D">
          <w:pPr>
            <w:pStyle w:val="11"/>
            <w:tabs>
              <w:tab w:val="right" w:leader="dot" w:pos="9026"/>
            </w:tabs>
            <w:spacing w:line="360" w:lineRule="auto"/>
            <w:rPr>
              <w:sz w:val="24"/>
              <w:szCs w:val="24"/>
            </w:rPr>
          </w:pPr>
          <w:r>
            <w:rPr>
              <w:rFonts w:hint="eastAsia" w:ascii="Times New Roman" w:hAnsi="Times New Roman" w:eastAsia="方正小标宋_GBK" w:cs="Times New Roman"/>
              <w:color w:val="auto"/>
              <w:kern w:val="2"/>
              <w:sz w:val="24"/>
              <w:szCs w:val="24"/>
              <w:u w:val="none"/>
              <w:lang w:val="en-US" w:eastAsia="zh-CN" w:bidi="ar-SA"/>
            </w:rPr>
            <w:fldChar w:fldCharType="begin"/>
          </w:r>
          <w:r>
            <w:rPr>
              <w:rFonts w:hint="eastAsia" w:ascii="Times New Roman" w:hAnsi="Times New Roman" w:eastAsia="方正小标宋_GBK" w:cs="Times New Roman"/>
              <w:kern w:val="2"/>
              <w:sz w:val="24"/>
              <w:szCs w:val="24"/>
              <w:lang w:val="en-US" w:eastAsia="zh-CN" w:bidi="ar-SA"/>
            </w:rPr>
            <w:instrText xml:space="preserve"> HYPERLINK \l _Toc6462 </w:instrText>
          </w:r>
          <w:r>
            <w:rPr>
              <w:rFonts w:hint="eastAsia" w:ascii="Times New Roman" w:hAnsi="Times New Roman" w:eastAsia="方正小标宋_GBK" w:cs="Times New Roman"/>
              <w:kern w:val="2"/>
              <w:sz w:val="24"/>
              <w:szCs w:val="24"/>
              <w:lang w:val="en-US" w:eastAsia="zh-CN" w:bidi="ar-SA"/>
            </w:rPr>
            <w:fldChar w:fldCharType="separate"/>
          </w:r>
          <w:r>
            <w:rPr>
              <w:rFonts w:hint="eastAsia" w:ascii="Times New Roman" w:hAnsi="Times New Roman" w:eastAsia="黑体" w:cs="Times New Roman"/>
              <w:bCs/>
              <w:kern w:val="2"/>
              <w:sz w:val="24"/>
              <w:szCs w:val="24"/>
              <w:highlight w:val="none"/>
              <w:lang w:val="en-US" w:eastAsia="zh-CN" w:bidi="ar-SA"/>
            </w:rPr>
            <w:t>第一节激发各类市场主体活力</w:t>
          </w:r>
          <w:r>
            <w:rPr>
              <w:sz w:val="24"/>
              <w:szCs w:val="24"/>
            </w:rPr>
            <w:tab/>
          </w:r>
          <w:r>
            <w:rPr>
              <w:sz w:val="24"/>
              <w:szCs w:val="24"/>
            </w:rPr>
            <w:fldChar w:fldCharType="begin"/>
          </w:r>
          <w:r>
            <w:rPr>
              <w:sz w:val="24"/>
              <w:szCs w:val="24"/>
            </w:rPr>
            <w:instrText xml:space="preserve"> PAGEREF _Toc6462 \h </w:instrText>
          </w:r>
          <w:r>
            <w:rPr>
              <w:sz w:val="24"/>
              <w:szCs w:val="24"/>
            </w:rPr>
            <w:fldChar w:fldCharType="separate"/>
          </w:r>
          <w:r>
            <w:rPr>
              <w:sz w:val="24"/>
              <w:szCs w:val="24"/>
            </w:rPr>
            <w:t>- 102 -</w:t>
          </w:r>
          <w:r>
            <w:rPr>
              <w:sz w:val="24"/>
              <w:szCs w:val="24"/>
            </w:rPr>
            <w:fldChar w:fldCharType="end"/>
          </w:r>
          <w:r>
            <w:rPr>
              <w:rFonts w:hint="eastAsia" w:ascii="Times New Roman" w:hAnsi="Times New Roman" w:eastAsia="方正小标宋_GBK" w:cs="Times New Roman"/>
              <w:color w:val="auto"/>
              <w:kern w:val="2"/>
              <w:sz w:val="24"/>
              <w:szCs w:val="24"/>
              <w:u w:val="none"/>
              <w:lang w:val="en-US" w:eastAsia="zh-CN" w:bidi="ar-SA"/>
            </w:rPr>
            <w:fldChar w:fldCharType="end"/>
          </w:r>
        </w:p>
        <w:p w14:paraId="4AF49AA0">
          <w:pPr>
            <w:pStyle w:val="11"/>
            <w:tabs>
              <w:tab w:val="right" w:leader="dot" w:pos="9026"/>
            </w:tabs>
            <w:spacing w:line="360" w:lineRule="auto"/>
            <w:rPr>
              <w:sz w:val="24"/>
              <w:szCs w:val="24"/>
            </w:rPr>
          </w:pPr>
          <w:r>
            <w:rPr>
              <w:rFonts w:hint="eastAsia" w:ascii="Times New Roman" w:hAnsi="Times New Roman" w:eastAsia="方正小标宋_GBK" w:cs="Times New Roman"/>
              <w:color w:val="auto"/>
              <w:kern w:val="2"/>
              <w:sz w:val="24"/>
              <w:szCs w:val="24"/>
              <w:u w:val="none"/>
              <w:lang w:val="en-US" w:eastAsia="zh-CN" w:bidi="ar-SA"/>
            </w:rPr>
            <w:fldChar w:fldCharType="begin"/>
          </w:r>
          <w:r>
            <w:rPr>
              <w:rFonts w:hint="eastAsia" w:ascii="Times New Roman" w:hAnsi="Times New Roman" w:eastAsia="方正小标宋_GBK" w:cs="Times New Roman"/>
              <w:kern w:val="2"/>
              <w:sz w:val="24"/>
              <w:szCs w:val="24"/>
              <w:lang w:val="en-US" w:eastAsia="zh-CN" w:bidi="ar-SA"/>
            </w:rPr>
            <w:instrText xml:space="preserve"> HYPERLINK \l _Toc2422 </w:instrText>
          </w:r>
          <w:r>
            <w:rPr>
              <w:rFonts w:hint="eastAsia" w:ascii="Times New Roman" w:hAnsi="Times New Roman" w:eastAsia="方正小标宋_GBK" w:cs="Times New Roman"/>
              <w:kern w:val="2"/>
              <w:sz w:val="24"/>
              <w:szCs w:val="24"/>
              <w:lang w:val="en-US" w:eastAsia="zh-CN" w:bidi="ar-SA"/>
            </w:rPr>
            <w:fldChar w:fldCharType="separate"/>
          </w:r>
          <w:r>
            <w:rPr>
              <w:rFonts w:hint="eastAsia" w:ascii="Times New Roman" w:hAnsi="Times New Roman" w:eastAsia="黑体" w:cs="Times New Roman"/>
              <w:bCs/>
              <w:kern w:val="2"/>
              <w:sz w:val="24"/>
              <w:szCs w:val="24"/>
              <w:highlight w:val="none"/>
              <w:lang w:val="en-US" w:eastAsia="zh-CN" w:bidi="ar-SA"/>
            </w:rPr>
            <w:t>第二节建设一流营商环境</w:t>
          </w:r>
          <w:r>
            <w:rPr>
              <w:sz w:val="24"/>
              <w:szCs w:val="24"/>
            </w:rPr>
            <w:tab/>
          </w:r>
          <w:r>
            <w:rPr>
              <w:sz w:val="24"/>
              <w:szCs w:val="24"/>
            </w:rPr>
            <w:fldChar w:fldCharType="begin"/>
          </w:r>
          <w:r>
            <w:rPr>
              <w:sz w:val="24"/>
              <w:szCs w:val="24"/>
            </w:rPr>
            <w:instrText xml:space="preserve"> PAGEREF _Toc2422 \h </w:instrText>
          </w:r>
          <w:r>
            <w:rPr>
              <w:sz w:val="24"/>
              <w:szCs w:val="24"/>
            </w:rPr>
            <w:fldChar w:fldCharType="separate"/>
          </w:r>
          <w:r>
            <w:rPr>
              <w:sz w:val="24"/>
              <w:szCs w:val="24"/>
            </w:rPr>
            <w:t>- 103 -</w:t>
          </w:r>
          <w:r>
            <w:rPr>
              <w:sz w:val="24"/>
              <w:szCs w:val="24"/>
            </w:rPr>
            <w:fldChar w:fldCharType="end"/>
          </w:r>
          <w:r>
            <w:rPr>
              <w:rFonts w:hint="eastAsia" w:ascii="Times New Roman" w:hAnsi="Times New Roman" w:eastAsia="方正小标宋_GBK" w:cs="Times New Roman"/>
              <w:color w:val="auto"/>
              <w:kern w:val="2"/>
              <w:sz w:val="24"/>
              <w:szCs w:val="24"/>
              <w:u w:val="none"/>
              <w:lang w:val="en-US" w:eastAsia="zh-CN" w:bidi="ar-SA"/>
            </w:rPr>
            <w:fldChar w:fldCharType="end"/>
          </w:r>
        </w:p>
        <w:p w14:paraId="2BA17A42">
          <w:pPr>
            <w:pStyle w:val="11"/>
            <w:tabs>
              <w:tab w:val="right" w:leader="dot" w:pos="9026"/>
            </w:tabs>
            <w:spacing w:line="360" w:lineRule="auto"/>
            <w:rPr>
              <w:sz w:val="24"/>
              <w:szCs w:val="24"/>
            </w:rPr>
          </w:pPr>
          <w:r>
            <w:rPr>
              <w:rFonts w:hint="eastAsia" w:ascii="Times New Roman" w:hAnsi="Times New Roman" w:eastAsia="方正小标宋_GBK" w:cs="Times New Roman"/>
              <w:color w:val="auto"/>
              <w:kern w:val="2"/>
              <w:sz w:val="24"/>
              <w:szCs w:val="24"/>
              <w:u w:val="none"/>
              <w:lang w:val="en-US" w:eastAsia="zh-CN" w:bidi="ar-SA"/>
            </w:rPr>
            <w:fldChar w:fldCharType="begin"/>
          </w:r>
          <w:r>
            <w:rPr>
              <w:rFonts w:hint="eastAsia" w:ascii="Times New Roman" w:hAnsi="Times New Roman" w:eastAsia="方正小标宋_GBK" w:cs="Times New Roman"/>
              <w:kern w:val="2"/>
              <w:sz w:val="24"/>
              <w:szCs w:val="24"/>
              <w:lang w:val="en-US" w:eastAsia="zh-CN" w:bidi="ar-SA"/>
            </w:rPr>
            <w:instrText xml:space="preserve"> HYPERLINK \l _Toc15748 </w:instrText>
          </w:r>
          <w:r>
            <w:rPr>
              <w:rFonts w:hint="eastAsia" w:ascii="Times New Roman" w:hAnsi="Times New Roman" w:eastAsia="方正小标宋_GBK" w:cs="Times New Roman"/>
              <w:kern w:val="2"/>
              <w:sz w:val="24"/>
              <w:szCs w:val="24"/>
              <w:lang w:val="en-US" w:eastAsia="zh-CN" w:bidi="ar-SA"/>
            </w:rPr>
            <w:fldChar w:fldCharType="separate"/>
          </w:r>
          <w:r>
            <w:rPr>
              <w:rFonts w:hint="eastAsia" w:ascii="Times New Roman" w:hAnsi="Times New Roman" w:eastAsia="黑体" w:cs="Times New Roman"/>
              <w:bCs/>
              <w:kern w:val="2"/>
              <w:sz w:val="24"/>
              <w:szCs w:val="24"/>
              <w:highlight w:val="none"/>
              <w:lang w:val="en-US" w:eastAsia="zh-CN" w:bidi="ar-SA"/>
            </w:rPr>
            <w:t>第三节打造对外开放新高地</w:t>
          </w:r>
          <w:r>
            <w:rPr>
              <w:sz w:val="24"/>
              <w:szCs w:val="24"/>
            </w:rPr>
            <w:tab/>
          </w:r>
          <w:r>
            <w:rPr>
              <w:sz w:val="24"/>
              <w:szCs w:val="24"/>
            </w:rPr>
            <w:fldChar w:fldCharType="begin"/>
          </w:r>
          <w:r>
            <w:rPr>
              <w:sz w:val="24"/>
              <w:szCs w:val="24"/>
            </w:rPr>
            <w:instrText xml:space="preserve"> PAGEREF _Toc15748 \h </w:instrText>
          </w:r>
          <w:r>
            <w:rPr>
              <w:sz w:val="24"/>
              <w:szCs w:val="24"/>
            </w:rPr>
            <w:fldChar w:fldCharType="separate"/>
          </w:r>
          <w:r>
            <w:rPr>
              <w:sz w:val="24"/>
              <w:szCs w:val="24"/>
            </w:rPr>
            <w:t>- 105 -</w:t>
          </w:r>
          <w:r>
            <w:rPr>
              <w:sz w:val="24"/>
              <w:szCs w:val="24"/>
            </w:rPr>
            <w:fldChar w:fldCharType="end"/>
          </w:r>
          <w:r>
            <w:rPr>
              <w:rFonts w:hint="eastAsia" w:ascii="Times New Roman" w:hAnsi="Times New Roman" w:eastAsia="方正小标宋_GBK" w:cs="Times New Roman"/>
              <w:color w:val="auto"/>
              <w:kern w:val="2"/>
              <w:sz w:val="24"/>
              <w:szCs w:val="24"/>
              <w:u w:val="none"/>
              <w:lang w:val="en-US" w:eastAsia="zh-CN" w:bidi="ar-SA"/>
            </w:rPr>
            <w:fldChar w:fldCharType="end"/>
          </w:r>
        </w:p>
        <w:p w14:paraId="39B7A5AD">
          <w:pPr>
            <w:pStyle w:val="11"/>
            <w:tabs>
              <w:tab w:val="right" w:leader="dot" w:pos="9026"/>
            </w:tabs>
            <w:spacing w:line="360" w:lineRule="auto"/>
            <w:rPr>
              <w:sz w:val="24"/>
              <w:szCs w:val="24"/>
            </w:rPr>
          </w:pPr>
          <w:r>
            <w:rPr>
              <w:rFonts w:hint="eastAsia" w:ascii="Times New Roman" w:hAnsi="Times New Roman" w:eastAsia="方正小标宋_GBK" w:cs="Times New Roman"/>
              <w:color w:val="auto"/>
              <w:kern w:val="2"/>
              <w:sz w:val="24"/>
              <w:szCs w:val="24"/>
              <w:u w:val="none"/>
              <w:lang w:val="en-US" w:eastAsia="zh-CN" w:bidi="ar-SA"/>
            </w:rPr>
            <w:fldChar w:fldCharType="begin"/>
          </w:r>
          <w:r>
            <w:rPr>
              <w:rFonts w:hint="eastAsia" w:ascii="Times New Roman" w:hAnsi="Times New Roman" w:eastAsia="方正小标宋_GBK" w:cs="Times New Roman"/>
              <w:kern w:val="2"/>
              <w:sz w:val="24"/>
              <w:szCs w:val="24"/>
              <w:lang w:val="en-US" w:eastAsia="zh-CN" w:bidi="ar-SA"/>
            </w:rPr>
            <w:instrText xml:space="preserve"> HYPERLINK \l _Toc21417 </w:instrText>
          </w:r>
          <w:r>
            <w:rPr>
              <w:rFonts w:hint="eastAsia" w:ascii="Times New Roman" w:hAnsi="Times New Roman" w:eastAsia="方正小标宋_GBK" w:cs="Times New Roman"/>
              <w:kern w:val="2"/>
              <w:sz w:val="24"/>
              <w:szCs w:val="24"/>
              <w:lang w:val="en-US" w:eastAsia="zh-CN" w:bidi="ar-SA"/>
            </w:rPr>
            <w:fldChar w:fldCharType="separate"/>
          </w:r>
          <w:r>
            <w:rPr>
              <w:rFonts w:hint="eastAsia" w:ascii="Times New Roman" w:hAnsi="Times New Roman" w:eastAsia="黑体" w:cs="Times New Roman"/>
              <w:bCs/>
              <w:kern w:val="2"/>
              <w:sz w:val="24"/>
              <w:szCs w:val="24"/>
              <w:highlight w:val="none"/>
              <w:lang w:val="en-US" w:eastAsia="zh-CN" w:bidi="ar-SA"/>
            </w:rPr>
            <w:t>第四节有效激发消费潜力</w:t>
          </w:r>
          <w:r>
            <w:rPr>
              <w:sz w:val="24"/>
              <w:szCs w:val="24"/>
            </w:rPr>
            <w:tab/>
          </w:r>
          <w:r>
            <w:rPr>
              <w:sz w:val="24"/>
              <w:szCs w:val="24"/>
            </w:rPr>
            <w:fldChar w:fldCharType="begin"/>
          </w:r>
          <w:r>
            <w:rPr>
              <w:sz w:val="24"/>
              <w:szCs w:val="24"/>
            </w:rPr>
            <w:instrText xml:space="preserve"> PAGEREF _Toc21417 \h </w:instrText>
          </w:r>
          <w:r>
            <w:rPr>
              <w:sz w:val="24"/>
              <w:szCs w:val="24"/>
            </w:rPr>
            <w:fldChar w:fldCharType="separate"/>
          </w:r>
          <w:r>
            <w:rPr>
              <w:sz w:val="24"/>
              <w:szCs w:val="24"/>
            </w:rPr>
            <w:t>- 106 -</w:t>
          </w:r>
          <w:r>
            <w:rPr>
              <w:sz w:val="24"/>
              <w:szCs w:val="24"/>
            </w:rPr>
            <w:fldChar w:fldCharType="end"/>
          </w:r>
          <w:r>
            <w:rPr>
              <w:rFonts w:hint="eastAsia" w:ascii="Times New Roman" w:hAnsi="Times New Roman" w:eastAsia="方正小标宋_GBK" w:cs="Times New Roman"/>
              <w:color w:val="auto"/>
              <w:kern w:val="2"/>
              <w:sz w:val="24"/>
              <w:szCs w:val="24"/>
              <w:u w:val="none"/>
              <w:lang w:val="en-US" w:eastAsia="zh-CN" w:bidi="ar-SA"/>
            </w:rPr>
            <w:fldChar w:fldCharType="end"/>
          </w:r>
        </w:p>
        <w:p w14:paraId="0DF0DDAD">
          <w:pPr>
            <w:pStyle w:val="11"/>
            <w:tabs>
              <w:tab w:val="right" w:leader="dot" w:pos="9026"/>
            </w:tabs>
            <w:spacing w:line="360" w:lineRule="auto"/>
            <w:rPr>
              <w:sz w:val="24"/>
              <w:szCs w:val="24"/>
            </w:rPr>
          </w:pPr>
          <w:r>
            <w:rPr>
              <w:rFonts w:hint="eastAsia" w:ascii="Times New Roman" w:hAnsi="Times New Roman" w:eastAsia="方正小标宋_GBK" w:cs="Times New Roman"/>
              <w:color w:val="auto"/>
              <w:kern w:val="2"/>
              <w:sz w:val="24"/>
              <w:szCs w:val="24"/>
              <w:u w:val="none"/>
              <w:lang w:val="en-US" w:eastAsia="zh-CN" w:bidi="ar-SA"/>
            </w:rPr>
            <w:fldChar w:fldCharType="begin"/>
          </w:r>
          <w:r>
            <w:rPr>
              <w:rFonts w:hint="eastAsia" w:ascii="Times New Roman" w:hAnsi="Times New Roman" w:eastAsia="方正小标宋_GBK" w:cs="Times New Roman"/>
              <w:kern w:val="2"/>
              <w:sz w:val="24"/>
              <w:szCs w:val="24"/>
              <w:lang w:val="en-US" w:eastAsia="zh-CN" w:bidi="ar-SA"/>
            </w:rPr>
            <w:instrText xml:space="preserve"> HYPERLINK \l _Toc30972 </w:instrText>
          </w:r>
          <w:r>
            <w:rPr>
              <w:rFonts w:hint="eastAsia" w:ascii="Times New Roman" w:hAnsi="Times New Roman" w:eastAsia="方正小标宋_GBK" w:cs="Times New Roman"/>
              <w:kern w:val="2"/>
              <w:sz w:val="24"/>
              <w:szCs w:val="24"/>
              <w:lang w:val="en-US" w:eastAsia="zh-CN" w:bidi="ar-SA"/>
            </w:rPr>
            <w:fldChar w:fldCharType="separate"/>
          </w:r>
          <w:r>
            <w:rPr>
              <w:rFonts w:hint="eastAsia" w:ascii="Times New Roman" w:hAnsi="Times New Roman" w:eastAsia="黑体" w:cs="Times New Roman"/>
              <w:bCs/>
              <w:kern w:val="2"/>
              <w:sz w:val="24"/>
              <w:szCs w:val="24"/>
              <w:highlight w:val="none"/>
              <w:lang w:val="en-US" w:eastAsia="zh-CN" w:bidi="ar-SA"/>
            </w:rPr>
            <w:t>第五节扩大合理有效投资</w:t>
          </w:r>
          <w:r>
            <w:rPr>
              <w:sz w:val="24"/>
              <w:szCs w:val="24"/>
            </w:rPr>
            <w:tab/>
          </w:r>
          <w:r>
            <w:rPr>
              <w:sz w:val="24"/>
              <w:szCs w:val="24"/>
            </w:rPr>
            <w:fldChar w:fldCharType="begin"/>
          </w:r>
          <w:r>
            <w:rPr>
              <w:sz w:val="24"/>
              <w:szCs w:val="24"/>
            </w:rPr>
            <w:instrText xml:space="preserve"> PAGEREF _Toc30972 \h </w:instrText>
          </w:r>
          <w:r>
            <w:rPr>
              <w:sz w:val="24"/>
              <w:szCs w:val="24"/>
            </w:rPr>
            <w:fldChar w:fldCharType="separate"/>
          </w:r>
          <w:r>
            <w:rPr>
              <w:sz w:val="24"/>
              <w:szCs w:val="24"/>
            </w:rPr>
            <w:t>- 108 -</w:t>
          </w:r>
          <w:r>
            <w:rPr>
              <w:sz w:val="24"/>
              <w:szCs w:val="24"/>
            </w:rPr>
            <w:fldChar w:fldCharType="end"/>
          </w:r>
          <w:r>
            <w:rPr>
              <w:rFonts w:hint="eastAsia" w:ascii="Times New Roman" w:hAnsi="Times New Roman" w:eastAsia="方正小标宋_GBK" w:cs="Times New Roman"/>
              <w:color w:val="auto"/>
              <w:kern w:val="2"/>
              <w:sz w:val="24"/>
              <w:szCs w:val="24"/>
              <w:u w:val="none"/>
              <w:lang w:val="en-US" w:eastAsia="zh-CN" w:bidi="ar-SA"/>
            </w:rPr>
            <w:fldChar w:fldCharType="end"/>
          </w:r>
        </w:p>
        <w:p w14:paraId="1C65F4B8">
          <w:pPr>
            <w:pStyle w:val="11"/>
            <w:tabs>
              <w:tab w:val="right" w:leader="dot" w:pos="9026"/>
            </w:tabs>
            <w:spacing w:line="360" w:lineRule="auto"/>
            <w:rPr>
              <w:sz w:val="24"/>
              <w:szCs w:val="24"/>
            </w:rPr>
          </w:pPr>
          <w:r>
            <w:rPr>
              <w:rFonts w:hint="eastAsia" w:ascii="Times New Roman" w:hAnsi="Times New Roman" w:eastAsia="方正小标宋_GBK" w:cs="Times New Roman"/>
              <w:color w:val="auto"/>
              <w:kern w:val="2"/>
              <w:sz w:val="24"/>
              <w:szCs w:val="24"/>
              <w:u w:val="none"/>
              <w:lang w:val="en-US" w:eastAsia="zh-CN" w:bidi="ar-SA"/>
            </w:rPr>
            <w:fldChar w:fldCharType="begin"/>
          </w:r>
          <w:r>
            <w:rPr>
              <w:rFonts w:hint="eastAsia" w:ascii="Times New Roman" w:hAnsi="Times New Roman" w:eastAsia="方正小标宋_GBK" w:cs="Times New Roman"/>
              <w:kern w:val="2"/>
              <w:sz w:val="24"/>
              <w:szCs w:val="24"/>
              <w:lang w:val="en-US" w:eastAsia="zh-CN" w:bidi="ar-SA"/>
            </w:rPr>
            <w:instrText xml:space="preserve"> HYPERLINK \l _Toc5552 </w:instrText>
          </w:r>
          <w:r>
            <w:rPr>
              <w:rFonts w:hint="eastAsia" w:ascii="Times New Roman" w:hAnsi="Times New Roman" w:eastAsia="方正小标宋_GBK" w:cs="Times New Roman"/>
              <w:kern w:val="2"/>
              <w:sz w:val="24"/>
              <w:szCs w:val="24"/>
              <w:lang w:val="en-US" w:eastAsia="zh-CN" w:bidi="ar-SA"/>
            </w:rPr>
            <w:fldChar w:fldCharType="separate"/>
          </w:r>
          <w:r>
            <w:rPr>
              <w:rFonts w:hint="eastAsia" w:ascii="Times New Roman" w:hAnsi="Times New Roman" w:eastAsia="黑体" w:cs="Times New Roman"/>
              <w:bCs/>
              <w:kern w:val="2"/>
              <w:sz w:val="24"/>
              <w:szCs w:val="24"/>
              <w:highlight w:val="none"/>
              <w:lang w:val="en-US" w:eastAsia="zh-CN" w:bidi="ar-SA"/>
            </w:rPr>
            <w:t>第六节畅通要素自由流动</w:t>
          </w:r>
          <w:r>
            <w:rPr>
              <w:sz w:val="24"/>
              <w:szCs w:val="24"/>
            </w:rPr>
            <w:tab/>
          </w:r>
          <w:r>
            <w:rPr>
              <w:sz w:val="24"/>
              <w:szCs w:val="24"/>
            </w:rPr>
            <w:fldChar w:fldCharType="begin"/>
          </w:r>
          <w:r>
            <w:rPr>
              <w:sz w:val="24"/>
              <w:szCs w:val="24"/>
            </w:rPr>
            <w:instrText xml:space="preserve"> PAGEREF _Toc5552 \h </w:instrText>
          </w:r>
          <w:r>
            <w:rPr>
              <w:sz w:val="24"/>
              <w:szCs w:val="24"/>
            </w:rPr>
            <w:fldChar w:fldCharType="separate"/>
          </w:r>
          <w:r>
            <w:rPr>
              <w:sz w:val="24"/>
              <w:szCs w:val="24"/>
            </w:rPr>
            <w:t>- 109 -</w:t>
          </w:r>
          <w:r>
            <w:rPr>
              <w:sz w:val="24"/>
              <w:szCs w:val="24"/>
            </w:rPr>
            <w:fldChar w:fldCharType="end"/>
          </w:r>
          <w:r>
            <w:rPr>
              <w:rFonts w:hint="eastAsia" w:ascii="Times New Roman" w:hAnsi="Times New Roman" w:eastAsia="方正小标宋_GBK" w:cs="Times New Roman"/>
              <w:color w:val="auto"/>
              <w:kern w:val="2"/>
              <w:sz w:val="24"/>
              <w:szCs w:val="24"/>
              <w:u w:val="none"/>
              <w:lang w:val="en-US" w:eastAsia="zh-CN" w:bidi="ar-SA"/>
            </w:rPr>
            <w:fldChar w:fldCharType="end"/>
          </w:r>
        </w:p>
        <w:p w14:paraId="3143F1C6">
          <w:pPr>
            <w:pStyle w:val="14"/>
            <w:tabs>
              <w:tab w:val="right" w:leader="dot" w:pos="9026"/>
            </w:tabs>
            <w:spacing w:line="360" w:lineRule="auto"/>
            <w:rPr>
              <w:sz w:val="24"/>
              <w:szCs w:val="24"/>
            </w:rPr>
          </w:pPr>
          <w:r>
            <w:rPr>
              <w:rFonts w:hint="eastAsia" w:ascii="Times New Roman" w:hAnsi="Times New Roman" w:eastAsia="方正小标宋_GBK" w:cs="Times New Roman"/>
              <w:color w:val="auto"/>
              <w:kern w:val="2"/>
              <w:sz w:val="24"/>
              <w:szCs w:val="24"/>
              <w:u w:val="none"/>
              <w:lang w:val="en-US" w:eastAsia="zh-CN" w:bidi="ar-SA"/>
            </w:rPr>
            <w:fldChar w:fldCharType="begin"/>
          </w:r>
          <w:r>
            <w:rPr>
              <w:rFonts w:hint="eastAsia" w:ascii="Times New Roman" w:hAnsi="Times New Roman" w:eastAsia="方正小标宋_GBK" w:cs="Times New Roman"/>
              <w:kern w:val="2"/>
              <w:sz w:val="24"/>
              <w:szCs w:val="24"/>
              <w:lang w:val="en-US" w:eastAsia="zh-CN" w:bidi="ar-SA"/>
            </w:rPr>
            <w:instrText xml:space="preserve"> HYPERLINK \l _Toc3511 </w:instrText>
          </w:r>
          <w:r>
            <w:rPr>
              <w:rFonts w:hint="eastAsia" w:ascii="Times New Roman" w:hAnsi="Times New Roman" w:eastAsia="方正小标宋_GBK" w:cs="Times New Roman"/>
              <w:kern w:val="2"/>
              <w:sz w:val="24"/>
              <w:szCs w:val="24"/>
              <w:lang w:val="en-US" w:eastAsia="zh-CN" w:bidi="ar-SA"/>
            </w:rPr>
            <w:fldChar w:fldCharType="separate"/>
          </w:r>
          <w:r>
            <w:rPr>
              <w:rFonts w:hint="eastAsia" w:ascii="Times New Roman" w:hAnsi="Times New Roman" w:eastAsia="方正小标宋_GBK" w:cs="Times New Roman"/>
              <w:kern w:val="2"/>
              <w:sz w:val="24"/>
              <w:szCs w:val="24"/>
              <w:highlight w:val="none"/>
              <w:lang w:val="en-US" w:eastAsia="zh-CN" w:bidi="ar-SA"/>
            </w:rPr>
            <w:t>板块五：民生实事</w:t>
          </w:r>
          <w:r>
            <w:rPr>
              <w:sz w:val="24"/>
              <w:szCs w:val="24"/>
            </w:rPr>
            <w:tab/>
          </w:r>
          <w:r>
            <w:rPr>
              <w:sz w:val="24"/>
              <w:szCs w:val="24"/>
            </w:rPr>
            <w:fldChar w:fldCharType="begin"/>
          </w:r>
          <w:r>
            <w:rPr>
              <w:sz w:val="24"/>
              <w:szCs w:val="24"/>
            </w:rPr>
            <w:instrText xml:space="preserve"> PAGEREF _Toc3511 \h </w:instrText>
          </w:r>
          <w:r>
            <w:rPr>
              <w:sz w:val="24"/>
              <w:szCs w:val="24"/>
            </w:rPr>
            <w:fldChar w:fldCharType="separate"/>
          </w:r>
          <w:r>
            <w:rPr>
              <w:sz w:val="24"/>
              <w:szCs w:val="24"/>
            </w:rPr>
            <w:t>- 112 -</w:t>
          </w:r>
          <w:r>
            <w:rPr>
              <w:sz w:val="24"/>
              <w:szCs w:val="24"/>
            </w:rPr>
            <w:fldChar w:fldCharType="end"/>
          </w:r>
          <w:r>
            <w:rPr>
              <w:rFonts w:hint="eastAsia" w:ascii="Times New Roman" w:hAnsi="Times New Roman" w:eastAsia="方正小标宋_GBK" w:cs="Times New Roman"/>
              <w:color w:val="auto"/>
              <w:kern w:val="2"/>
              <w:sz w:val="24"/>
              <w:szCs w:val="24"/>
              <w:u w:val="none"/>
              <w:lang w:val="en-US" w:eastAsia="zh-CN" w:bidi="ar-SA"/>
            </w:rPr>
            <w:fldChar w:fldCharType="end"/>
          </w:r>
        </w:p>
        <w:p w14:paraId="50997A07">
          <w:pPr>
            <w:pStyle w:val="16"/>
            <w:tabs>
              <w:tab w:val="right" w:leader="dot" w:pos="9026"/>
            </w:tabs>
            <w:spacing w:line="360" w:lineRule="auto"/>
            <w:rPr>
              <w:sz w:val="24"/>
              <w:szCs w:val="24"/>
            </w:rPr>
          </w:pPr>
          <w:r>
            <w:rPr>
              <w:rFonts w:hint="eastAsia" w:ascii="Times New Roman" w:hAnsi="Times New Roman" w:eastAsia="方正小标宋_GBK" w:cs="Times New Roman"/>
              <w:color w:val="auto"/>
              <w:kern w:val="2"/>
              <w:sz w:val="24"/>
              <w:szCs w:val="24"/>
              <w:u w:val="none"/>
              <w:lang w:val="en-US" w:eastAsia="zh-CN" w:bidi="ar-SA"/>
            </w:rPr>
            <w:fldChar w:fldCharType="begin"/>
          </w:r>
          <w:r>
            <w:rPr>
              <w:rFonts w:hint="eastAsia" w:ascii="Times New Roman" w:hAnsi="Times New Roman" w:eastAsia="方正小标宋_GBK" w:cs="Times New Roman"/>
              <w:kern w:val="2"/>
              <w:sz w:val="24"/>
              <w:szCs w:val="24"/>
              <w:lang w:val="en-US" w:eastAsia="zh-CN" w:bidi="ar-SA"/>
            </w:rPr>
            <w:instrText xml:space="preserve"> HYPERLINK \l _Toc7851 </w:instrText>
          </w:r>
          <w:r>
            <w:rPr>
              <w:rFonts w:hint="eastAsia" w:ascii="Times New Roman" w:hAnsi="Times New Roman" w:eastAsia="方正小标宋_GBK" w:cs="Times New Roman"/>
              <w:kern w:val="2"/>
              <w:sz w:val="24"/>
              <w:szCs w:val="24"/>
              <w:lang w:val="en-US" w:eastAsia="zh-CN" w:bidi="ar-SA"/>
            </w:rPr>
            <w:fldChar w:fldCharType="separate"/>
          </w:r>
          <w:r>
            <w:rPr>
              <w:rFonts w:hint="eastAsia" w:ascii="Times New Roman" w:hAnsi="Times New Roman" w:eastAsia="方正小标宋_GBK" w:cs="Times New Roman"/>
              <w:kern w:val="2"/>
              <w:sz w:val="24"/>
              <w:szCs w:val="24"/>
              <w:highlight w:val="none"/>
              <w:lang w:val="en-US" w:eastAsia="zh-CN" w:bidi="ar-SA"/>
            </w:rPr>
            <w:t>第十一章文化铸魂赋能，提升县域发展软实力</w:t>
          </w:r>
          <w:r>
            <w:rPr>
              <w:sz w:val="24"/>
              <w:szCs w:val="24"/>
            </w:rPr>
            <w:tab/>
          </w:r>
          <w:r>
            <w:rPr>
              <w:sz w:val="24"/>
              <w:szCs w:val="24"/>
            </w:rPr>
            <w:fldChar w:fldCharType="begin"/>
          </w:r>
          <w:r>
            <w:rPr>
              <w:sz w:val="24"/>
              <w:szCs w:val="24"/>
            </w:rPr>
            <w:instrText xml:space="preserve"> PAGEREF _Toc7851 \h </w:instrText>
          </w:r>
          <w:r>
            <w:rPr>
              <w:sz w:val="24"/>
              <w:szCs w:val="24"/>
            </w:rPr>
            <w:fldChar w:fldCharType="separate"/>
          </w:r>
          <w:r>
            <w:rPr>
              <w:sz w:val="24"/>
              <w:szCs w:val="24"/>
            </w:rPr>
            <w:t>- 112 -</w:t>
          </w:r>
          <w:r>
            <w:rPr>
              <w:sz w:val="24"/>
              <w:szCs w:val="24"/>
            </w:rPr>
            <w:fldChar w:fldCharType="end"/>
          </w:r>
          <w:r>
            <w:rPr>
              <w:rFonts w:hint="eastAsia" w:ascii="Times New Roman" w:hAnsi="Times New Roman" w:eastAsia="方正小标宋_GBK" w:cs="Times New Roman"/>
              <w:color w:val="auto"/>
              <w:kern w:val="2"/>
              <w:sz w:val="24"/>
              <w:szCs w:val="24"/>
              <w:u w:val="none"/>
              <w:lang w:val="en-US" w:eastAsia="zh-CN" w:bidi="ar-SA"/>
            </w:rPr>
            <w:fldChar w:fldCharType="end"/>
          </w:r>
        </w:p>
        <w:p w14:paraId="0B33172B">
          <w:pPr>
            <w:pStyle w:val="11"/>
            <w:tabs>
              <w:tab w:val="right" w:leader="dot" w:pos="9026"/>
            </w:tabs>
            <w:spacing w:line="360" w:lineRule="auto"/>
            <w:rPr>
              <w:sz w:val="24"/>
              <w:szCs w:val="24"/>
            </w:rPr>
          </w:pPr>
          <w:r>
            <w:rPr>
              <w:rFonts w:hint="eastAsia" w:ascii="Times New Roman" w:hAnsi="Times New Roman" w:eastAsia="方正小标宋_GBK" w:cs="Times New Roman"/>
              <w:color w:val="auto"/>
              <w:kern w:val="2"/>
              <w:sz w:val="24"/>
              <w:szCs w:val="24"/>
              <w:u w:val="none"/>
              <w:lang w:val="en-US" w:eastAsia="zh-CN" w:bidi="ar-SA"/>
            </w:rPr>
            <w:fldChar w:fldCharType="begin"/>
          </w:r>
          <w:r>
            <w:rPr>
              <w:rFonts w:hint="eastAsia" w:ascii="Times New Roman" w:hAnsi="Times New Roman" w:eastAsia="方正小标宋_GBK" w:cs="Times New Roman"/>
              <w:kern w:val="2"/>
              <w:sz w:val="24"/>
              <w:szCs w:val="24"/>
              <w:lang w:val="en-US" w:eastAsia="zh-CN" w:bidi="ar-SA"/>
            </w:rPr>
            <w:instrText xml:space="preserve"> HYPERLINK \l _Toc5732 </w:instrText>
          </w:r>
          <w:r>
            <w:rPr>
              <w:rFonts w:hint="eastAsia" w:ascii="Times New Roman" w:hAnsi="Times New Roman" w:eastAsia="方正小标宋_GBK" w:cs="Times New Roman"/>
              <w:kern w:val="2"/>
              <w:sz w:val="24"/>
              <w:szCs w:val="24"/>
              <w:lang w:val="en-US" w:eastAsia="zh-CN" w:bidi="ar-SA"/>
            </w:rPr>
            <w:fldChar w:fldCharType="separate"/>
          </w:r>
          <w:r>
            <w:rPr>
              <w:rFonts w:hint="eastAsia" w:ascii="Times New Roman" w:hAnsi="Times New Roman" w:eastAsia="黑体" w:cs="Times New Roman"/>
              <w:bCs/>
              <w:kern w:val="2"/>
              <w:sz w:val="24"/>
              <w:szCs w:val="24"/>
              <w:highlight w:val="none"/>
              <w:lang w:val="en-US" w:eastAsia="zh-CN" w:bidi="ar-SA"/>
            </w:rPr>
            <w:t>第一节加强社会主义精神文明建设</w:t>
          </w:r>
          <w:r>
            <w:rPr>
              <w:sz w:val="24"/>
              <w:szCs w:val="24"/>
            </w:rPr>
            <w:tab/>
          </w:r>
          <w:r>
            <w:rPr>
              <w:sz w:val="24"/>
              <w:szCs w:val="24"/>
            </w:rPr>
            <w:fldChar w:fldCharType="begin"/>
          </w:r>
          <w:r>
            <w:rPr>
              <w:sz w:val="24"/>
              <w:szCs w:val="24"/>
            </w:rPr>
            <w:instrText xml:space="preserve"> PAGEREF _Toc5732 \h </w:instrText>
          </w:r>
          <w:r>
            <w:rPr>
              <w:sz w:val="24"/>
              <w:szCs w:val="24"/>
            </w:rPr>
            <w:fldChar w:fldCharType="separate"/>
          </w:r>
          <w:r>
            <w:rPr>
              <w:sz w:val="24"/>
              <w:szCs w:val="24"/>
            </w:rPr>
            <w:t>- 112 -</w:t>
          </w:r>
          <w:r>
            <w:rPr>
              <w:sz w:val="24"/>
              <w:szCs w:val="24"/>
            </w:rPr>
            <w:fldChar w:fldCharType="end"/>
          </w:r>
          <w:r>
            <w:rPr>
              <w:rFonts w:hint="eastAsia" w:ascii="Times New Roman" w:hAnsi="Times New Roman" w:eastAsia="方正小标宋_GBK" w:cs="Times New Roman"/>
              <w:color w:val="auto"/>
              <w:kern w:val="2"/>
              <w:sz w:val="24"/>
              <w:szCs w:val="24"/>
              <w:u w:val="none"/>
              <w:lang w:val="en-US" w:eastAsia="zh-CN" w:bidi="ar-SA"/>
            </w:rPr>
            <w:fldChar w:fldCharType="end"/>
          </w:r>
        </w:p>
        <w:p w14:paraId="57E0FB74">
          <w:pPr>
            <w:pStyle w:val="11"/>
            <w:tabs>
              <w:tab w:val="right" w:leader="dot" w:pos="9026"/>
            </w:tabs>
            <w:spacing w:line="360" w:lineRule="auto"/>
            <w:rPr>
              <w:sz w:val="24"/>
              <w:szCs w:val="24"/>
            </w:rPr>
          </w:pPr>
          <w:r>
            <w:rPr>
              <w:rFonts w:hint="eastAsia" w:ascii="Times New Roman" w:hAnsi="Times New Roman" w:eastAsia="方正小标宋_GBK" w:cs="Times New Roman"/>
              <w:color w:val="auto"/>
              <w:kern w:val="2"/>
              <w:sz w:val="24"/>
              <w:szCs w:val="24"/>
              <w:u w:val="none"/>
              <w:lang w:val="en-US" w:eastAsia="zh-CN" w:bidi="ar-SA"/>
            </w:rPr>
            <w:fldChar w:fldCharType="begin"/>
          </w:r>
          <w:r>
            <w:rPr>
              <w:rFonts w:hint="eastAsia" w:ascii="Times New Roman" w:hAnsi="Times New Roman" w:eastAsia="方正小标宋_GBK" w:cs="Times New Roman"/>
              <w:kern w:val="2"/>
              <w:sz w:val="24"/>
              <w:szCs w:val="24"/>
              <w:lang w:val="en-US" w:eastAsia="zh-CN" w:bidi="ar-SA"/>
            </w:rPr>
            <w:instrText xml:space="preserve"> HYPERLINK \l _Toc11887 </w:instrText>
          </w:r>
          <w:r>
            <w:rPr>
              <w:rFonts w:hint="eastAsia" w:ascii="Times New Roman" w:hAnsi="Times New Roman" w:eastAsia="方正小标宋_GBK" w:cs="Times New Roman"/>
              <w:kern w:val="2"/>
              <w:sz w:val="24"/>
              <w:szCs w:val="24"/>
              <w:lang w:val="en-US" w:eastAsia="zh-CN" w:bidi="ar-SA"/>
            </w:rPr>
            <w:fldChar w:fldCharType="separate"/>
          </w:r>
          <w:r>
            <w:rPr>
              <w:rFonts w:hint="eastAsia" w:ascii="Times New Roman" w:hAnsi="Times New Roman" w:eastAsia="黑体" w:cs="Times New Roman"/>
              <w:bCs/>
              <w:kern w:val="2"/>
              <w:sz w:val="24"/>
              <w:szCs w:val="24"/>
              <w:highlight w:val="none"/>
              <w:lang w:val="en-US" w:eastAsia="zh-CN" w:bidi="ar-SA"/>
            </w:rPr>
            <w:t>第二节推动文化事业和文化产业发展</w:t>
          </w:r>
          <w:r>
            <w:rPr>
              <w:sz w:val="24"/>
              <w:szCs w:val="24"/>
            </w:rPr>
            <w:tab/>
          </w:r>
          <w:r>
            <w:rPr>
              <w:sz w:val="24"/>
              <w:szCs w:val="24"/>
            </w:rPr>
            <w:fldChar w:fldCharType="begin"/>
          </w:r>
          <w:r>
            <w:rPr>
              <w:sz w:val="24"/>
              <w:szCs w:val="24"/>
            </w:rPr>
            <w:instrText xml:space="preserve"> PAGEREF _Toc11887 \h </w:instrText>
          </w:r>
          <w:r>
            <w:rPr>
              <w:sz w:val="24"/>
              <w:szCs w:val="24"/>
            </w:rPr>
            <w:fldChar w:fldCharType="separate"/>
          </w:r>
          <w:r>
            <w:rPr>
              <w:sz w:val="24"/>
              <w:szCs w:val="24"/>
            </w:rPr>
            <w:t>- 112 -</w:t>
          </w:r>
          <w:r>
            <w:rPr>
              <w:sz w:val="24"/>
              <w:szCs w:val="24"/>
            </w:rPr>
            <w:fldChar w:fldCharType="end"/>
          </w:r>
          <w:r>
            <w:rPr>
              <w:rFonts w:hint="eastAsia" w:ascii="Times New Roman" w:hAnsi="Times New Roman" w:eastAsia="方正小标宋_GBK" w:cs="Times New Roman"/>
              <w:color w:val="auto"/>
              <w:kern w:val="2"/>
              <w:sz w:val="24"/>
              <w:szCs w:val="24"/>
              <w:u w:val="none"/>
              <w:lang w:val="en-US" w:eastAsia="zh-CN" w:bidi="ar-SA"/>
            </w:rPr>
            <w:fldChar w:fldCharType="end"/>
          </w:r>
        </w:p>
        <w:p w14:paraId="1214918C">
          <w:pPr>
            <w:pStyle w:val="11"/>
            <w:tabs>
              <w:tab w:val="right" w:leader="dot" w:pos="9026"/>
            </w:tabs>
            <w:spacing w:line="360" w:lineRule="auto"/>
            <w:rPr>
              <w:sz w:val="24"/>
              <w:szCs w:val="24"/>
            </w:rPr>
          </w:pPr>
          <w:r>
            <w:rPr>
              <w:rFonts w:hint="eastAsia" w:ascii="Times New Roman" w:hAnsi="Times New Roman" w:eastAsia="方正小标宋_GBK" w:cs="Times New Roman"/>
              <w:color w:val="auto"/>
              <w:kern w:val="2"/>
              <w:sz w:val="24"/>
              <w:szCs w:val="24"/>
              <w:u w:val="none"/>
              <w:lang w:val="en-US" w:eastAsia="zh-CN" w:bidi="ar-SA"/>
            </w:rPr>
            <w:fldChar w:fldCharType="begin"/>
          </w:r>
          <w:r>
            <w:rPr>
              <w:rFonts w:hint="eastAsia" w:ascii="Times New Roman" w:hAnsi="Times New Roman" w:eastAsia="方正小标宋_GBK" w:cs="Times New Roman"/>
              <w:kern w:val="2"/>
              <w:sz w:val="24"/>
              <w:szCs w:val="24"/>
              <w:lang w:val="en-US" w:eastAsia="zh-CN" w:bidi="ar-SA"/>
            </w:rPr>
            <w:instrText xml:space="preserve"> HYPERLINK \l _Toc11225 </w:instrText>
          </w:r>
          <w:r>
            <w:rPr>
              <w:rFonts w:hint="eastAsia" w:ascii="Times New Roman" w:hAnsi="Times New Roman" w:eastAsia="方正小标宋_GBK" w:cs="Times New Roman"/>
              <w:kern w:val="2"/>
              <w:sz w:val="24"/>
              <w:szCs w:val="24"/>
              <w:lang w:val="en-US" w:eastAsia="zh-CN" w:bidi="ar-SA"/>
            </w:rPr>
            <w:fldChar w:fldCharType="separate"/>
          </w:r>
          <w:r>
            <w:rPr>
              <w:rFonts w:hint="eastAsia" w:ascii="Times New Roman" w:hAnsi="Times New Roman" w:eastAsia="黑体" w:cs="Times New Roman"/>
              <w:bCs/>
              <w:kern w:val="2"/>
              <w:sz w:val="24"/>
              <w:szCs w:val="24"/>
              <w:highlight w:val="none"/>
              <w:lang w:val="en-US" w:eastAsia="zh-CN" w:bidi="ar-SA"/>
            </w:rPr>
            <w:t>第三节加强非遗传承保护与活化利用</w:t>
          </w:r>
          <w:r>
            <w:rPr>
              <w:sz w:val="24"/>
              <w:szCs w:val="24"/>
            </w:rPr>
            <w:tab/>
          </w:r>
          <w:r>
            <w:rPr>
              <w:sz w:val="24"/>
              <w:szCs w:val="24"/>
            </w:rPr>
            <w:fldChar w:fldCharType="begin"/>
          </w:r>
          <w:r>
            <w:rPr>
              <w:sz w:val="24"/>
              <w:szCs w:val="24"/>
            </w:rPr>
            <w:instrText xml:space="preserve"> PAGEREF _Toc11225 \h </w:instrText>
          </w:r>
          <w:r>
            <w:rPr>
              <w:sz w:val="24"/>
              <w:szCs w:val="24"/>
            </w:rPr>
            <w:fldChar w:fldCharType="separate"/>
          </w:r>
          <w:r>
            <w:rPr>
              <w:sz w:val="24"/>
              <w:szCs w:val="24"/>
            </w:rPr>
            <w:t>- 113 -</w:t>
          </w:r>
          <w:r>
            <w:rPr>
              <w:sz w:val="24"/>
              <w:szCs w:val="24"/>
            </w:rPr>
            <w:fldChar w:fldCharType="end"/>
          </w:r>
          <w:r>
            <w:rPr>
              <w:rFonts w:hint="eastAsia" w:ascii="Times New Roman" w:hAnsi="Times New Roman" w:eastAsia="方正小标宋_GBK" w:cs="Times New Roman"/>
              <w:color w:val="auto"/>
              <w:kern w:val="2"/>
              <w:sz w:val="24"/>
              <w:szCs w:val="24"/>
              <w:u w:val="none"/>
              <w:lang w:val="en-US" w:eastAsia="zh-CN" w:bidi="ar-SA"/>
            </w:rPr>
            <w:fldChar w:fldCharType="end"/>
          </w:r>
        </w:p>
        <w:p w14:paraId="4E521C5E">
          <w:pPr>
            <w:pStyle w:val="16"/>
            <w:tabs>
              <w:tab w:val="right" w:leader="dot" w:pos="9026"/>
            </w:tabs>
            <w:spacing w:line="360" w:lineRule="auto"/>
            <w:rPr>
              <w:sz w:val="24"/>
              <w:szCs w:val="24"/>
            </w:rPr>
          </w:pPr>
          <w:r>
            <w:rPr>
              <w:rFonts w:hint="eastAsia" w:ascii="Times New Roman" w:hAnsi="Times New Roman" w:eastAsia="方正小标宋_GBK" w:cs="Times New Roman"/>
              <w:color w:val="auto"/>
              <w:kern w:val="2"/>
              <w:sz w:val="24"/>
              <w:szCs w:val="24"/>
              <w:u w:val="none"/>
              <w:lang w:val="en-US" w:eastAsia="zh-CN" w:bidi="ar-SA"/>
            </w:rPr>
            <w:fldChar w:fldCharType="begin"/>
          </w:r>
          <w:r>
            <w:rPr>
              <w:rFonts w:hint="eastAsia" w:ascii="Times New Roman" w:hAnsi="Times New Roman" w:eastAsia="方正小标宋_GBK" w:cs="Times New Roman"/>
              <w:kern w:val="2"/>
              <w:sz w:val="24"/>
              <w:szCs w:val="24"/>
              <w:lang w:val="en-US" w:eastAsia="zh-CN" w:bidi="ar-SA"/>
            </w:rPr>
            <w:instrText xml:space="preserve"> HYPERLINK \l _Toc22889 </w:instrText>
          </w:r>
          <w:r>
            <w:rPr>
              <w:rFonts w:hint="eastAsia" w:ascii="Times New Roman" w:hAnsi="Times New Roman" w:eastAsia="方正小标宋_GBK" w:cs="Times New Roman"/>
              <w:kern w:val="2"/>
              <w:sz w:val="24"/>
              <w:szCs w:val="24"/>
              <w:lang w:val="en-US" w:eastAsia="zh-CN" w:bidi="ar-SA"/>
            </w:rPr>
            <w:fldChar w:fldCharType="separate"/>
          </w:r>
          <w:r>
            <w:rPr>
              <w:rFonts w:hint="eastAsia" w:ascii="Times New Roman" w:hAnsi="Times New Roman" w:eastAsia="方正小标宋_GBK" w:cs="Times New Roman"/>
              <w:kern w:val="2"/>
              <w:sz w:val="24"/>
              <w:szCs w:val="24"/>
              <w:highlight w:val="none"/>
              <w:lang w:val="en-US" w:eastAsia="zh-CN" w:bidi="ar-SA"/>
            </w:rPr>
            <w:t>第十二章创造高品质生活，谱写民生幸福篇章</w:t>
          </w:r>
          <w:r>
            <w:rPr>
              <w:sz w:val="24"/>
              <w:szCs w:val="24"/>
            </w:rPr>
            <w:tab/>
          </w:r>
          <w:r>
            <w:rPr>
              <w:sz w:val="24"/>
              <w:szCs w:val="24"/>
            </w:rPr>
            <w:fldChar w:fldCharType="begin"/>
          </w:r>
          <w:r>
            <w:rPr>
              <w:sz w:val="24"/>
              <w:szCs w:val="24"/>
            </w:rPr>
            <w:instrText xml:space="preserve"> PAGEREF _Toc22889 \h </w:instrText>
          </w:r>
          <w:r>
            <w:rPr>
              <w:sz w:val="24"/>
              <w:szCs w:val="24"/>
            </w:rPr>
            <w:fldChar w:fldCharType="separate"/>
          </w:r>
          <w:r>
            <w:rPr>
              <w:sz w:val="24"/>
              <w:szCs w:val="24"/>
            </w:rPr>
            <w:t>- 115 -</w:t>
          </w:r>
          <w:r>
            <w:rPr>
              <w:sz w:val="24"/>
              <w:szCs w:val="24"/>
            </w:rPr>
            <w:fldChar w:fldCharType="end"/>
          </w:r>
          <w:r>
            <w:rPr>
              <w:rFonts w:hint="eastAsia" w:ascii="Times New Roman" w:hAnsi="Times New Roman" w:eastAsia="方正小标宋_GBK" w:cs="Times New Roman"/>
              <w:color w:val="auto"/>
              <w:kern w:val="2"/>
              <w:sz w:val="24"/>
              <w:szCs w:val="24"/>
              <w:u w:val="none"/>
              <w:lang w:val="en-US" w:eastAsia="zh-CN" w:bidi="ar-SA"/>
            </w:rPr>
            <w:fldChar w:fldCharType="end"/>
          </w:r>
        </w:p>
        <w:p w14:paraId="4B552140">
          <w:pPr>
            <w:pStyle w:val="11"/>
            <w:tabs>
              <w:tab w:val="right" w:leader="dot" w:pos="9026"/>
            </w:tabs>
            <w:spacing w:line="360" w:lineRule="auto"/>
            <w:rPr>
              <w:sz w:val="24"/>
              <w:szCs w:val="24"/>
            </w:rPr>
          </w:pPr>
          <w:r>
            <w:rPr>
              <w:rFonts w:hint="eastAsia" w:ascii="Times New Roman" w:hAnsi="Times New Roman" w:eastAsia="方正小标宋_GBK" w:cs="Times New Roman"/>
              <w:color w:val="auto"/>
              <w:kern w:val="2"/>
              <w:sz w:val="24"/>
              <w:szCs w:val="24"/>
              <w:u w:val="none"/>
              <w:lang w:val="en-US" w:eastAsia="zh-CN" w:bidi="ar-SA"/>
            </w:rPr>
            <w:fldChar w:fldCharType="begin"/>
          </w:r>
          <w:r>
            <w:rPr>
              <w:rFonts w:hint="eastAsia" w:ascii="Times New Roman" w:hAnsi="Times New Roman" w:eastAsia="方正小标宋_GBK" w:cs="Times New Roman"/>
              <w:kern w:val="2"/>
              <w:sz w:val="24"/>
              <w:szCs w:val="24"/>
              <w:lang w:val="en-US" w:eastAsia="zh-CN" w:bidi="ar-SA"/>
            </w:rPr>
            <w:instrText xml:space="preserve"> HYPERLINK \l _Toc15355 </w:instrText>
          </w:r>
          <w:r>
            <w:rPr>
              <w:rFonts w:hint="eastAsia" w:ascii="Times New Roman" w:hAnsi="Times New Roman" w:eastAsia="方正小标宋_GBK" w:cs="Times New Roman"/>
              <w:kern w:val="2"/>
              <w:sz w:val="24"/>
              <w:szCs w:val="24"/>
              <w:lang w:val="en-US" w:eastAsia="zh-CN" w:bidi="ar-SA"/>
            </w:rPr>
            <w:fldChar w:fldCharType="separate"/>
          </w:r>
          <w:r>
            <w:rPr>
              <w:rFonts w:hint="eastAsia" w:ascii="Times New Roman" w:hAnsi="Times New Roman" w:eastAsia="黑体" w:cs="Times New Roman"/>
              <w:bCs/>
              <w:kern w:val="2"/>
              <w:sz w:val="24"/>
              <w:szCs w:val="24"/>
              <w:highlight w:val="none"/>
              <w:lang w:val="en-US" w:eastAsia="zh-CN" w:bidi="ar-SA"/>
            </w:rPr>
            <w:t>第一节拓展多样就业渠道</w:t>
          </w:r>
          <w:r>
            <w:rPr>
              <w:sz w:val="24"/>
              <w:szCs w:val="24"/>
            </w:rPr>
            <w:tab/>
          </w:r>
          <w:r>
            <w:rPr>
              <w:sz w:val="24"/>
              <w:szCs w:val="24"/>
            </w:rPr>
            <w:fldChar w:fldCharType="begin"/>
          </w:r>
          <w:r>
            <w:rPr>
              <w:sz w:val="24"/>
              <w:szCs w:val="24"/>
            </w:rPr>
            <w:instrText xml:space="preserve"> PAGEREF _Toc15355 \h </w:instrText>
          </w:r>
          <w:r>
            <w:rPr>
              <w:sz w:val="24"/>
              <w:szCs w:val="24"/>
            </w:rPr>
            <w:fldChar w:fldCharType="separate"/>
          </w:r>
          <w:r>
            <w:rPr>
              <w:sz w:val="24"/>
              <w:szCs w:val="24"/>
            </w:rPr>
            <w:t>- 116 -</w:t>
          </w:r>
          <w:r>
            <w:rPr>
              <w:sz w:val="24"/>
              <w:szCs w:val="24"/>
            </w:rPr>
            <w:fldChar w:fldCharType="end"/>
          </w:r>
          <w:r>
            <w:rPr>
              <w:rFonts w:hint="eastAsia" w:ascii="Times New Roman" w:hAnsi="Times New Roman" w:eastAsia="方正小标宋_GBK" w:cs="Times New Roman"/>
              <w:color w:val="auto"/>
              <w:kern w:val="2"/>
              <w:sz w:val="24"/>
              <w:szCs w:val="24"/>
              <w:u w:val="none"/>
              <w:lang w:val="en-US" w:eastAsia="zh-CN" w:bidi="ar-SA"/>
            </w:rPr>
            <w:fldChar w:fldCharType="end"/>
          </w:r>
        </w:p>
        <w:p w14:paraId="51873BCD">
          <w:pPr>
            <w:pStyle w:val="11"/>
            <w:tabs>
              <w:tab w:val="right" w:leader="dot" w:pos="9026"/>
            </w:tabs>
            <w:spacing w:line="360" w:lineRule="auto"/>
            <w:rPr>
              <w:sz w:val="24"/>
              <w:szCs w:val="24"/>
            </w:rPr>
          </w:pPr>
          <w:r>
            <w:rPr>
              <w:rFonts w:hint="eastAsia" w:ascii="Times New Roman" w:hAnsi="Times New Roman" w:eastAsia="方正小标宋_GBK" w:cs="Times New Roman"/>
              <w:color w:val="auto"/>
              <w:kern w:val="2"/>
              <w:sz w:val="24"/>
              <w:szCs w:val="24"/>
              <w:u w:val="none"/>
              <w:lang w:val="en-US" w:eastAsia="zh-CN" w:bidi="ar-SA"/>
            </w:rPr>
            <w:fldChar w:fldCharType="begin"/>
          </w:r>
          <w:r>
            <w:rPr>
              <w:rFonts w:hint="eastAsia" w:ascii="Times New Roman" w:hAnsi="Times New Roman" w:eastAsia="方正小标宋_GBK" w:cs="Times New Roman"/>
              <w:kern w:val="2"/>
              <w:sz w:val="24"/>
              <w:szCs w:val="24"/>
              <w:lang w:val="en-US" w:eastAsia="zh-CN" w:bidi="ar-SA"/>
            </w:rPr>
            <w:instrText xml:space="preserve"> HYPERLINK \l _Toc31857 </w:instrText>
          </w:r>
          <w:r>
            <w:rPr>
              <w:rFonts w:hint="eastAsia" w:ascii="Times New Roman" w:hAnsi="Times New Roman" w:eastAsia="方正小标宋_GBK" w:cs="Times New Roman"/>
              <w:kern w:val="2"/>
              <w:sz w:val="24"/>
              <w:szCs w:val="24"/>
              <w:lang w:val="en-US" w:eastAsia="zh-CN" w:bidi="ar-SA"/>
            </w:rPr>
            <w:fldChar w:fldCharType="separate"/>
          </w:r>
          <w:r>
            <w:rPr>
              <w:rFonts w:hint="eastAsia" w:ascii="Times New Roman" w:hAnsi="Times New Roman" w:eastAsia="黑体" w:cs="Times New Roman"/>
              <w:bCs/>
              <w:kern w:val="2"/>
              <w:sz w:val="24"/>
              <w:szCs w:val="24"/>
              <w:highlight w:val="none"/>
              <w:lang w:val="en-US" w:eastAsia="zh-CN" w:bidi="ar-SA"/>
            </w:rPr>
            <w:t>第二节扎实建设教育强县</w:t>
          </w:r>
          <w:r>
            <w:rPr>
              <w:sz w:val="24"/>
              <w:szCs w:val="24"/>
            </w:rPr>
            <w:tab/>
          </w:r>
          <w:r>
            <w:rPr>
              <w:sz w:val="24"/>
              <w:szCs w:val="24"/>
            </w:rPr>
            <w:fldChar w:fldCharType="begin"/>
          </w:r>
          <w:r>
            <w:rPr>
              <w:sz w:val="24"/>
              <w:szCs w:val="24"/>
            </w:rPr>
            <w:instrText xml:space="preserve"> PAGEREF _Toc31857 \h </w:instrText>
          </w:r>
          <w:r>
            <w:rPr>
              <w:sz w:val="24"/>
              <w:szCs w:val="24"/>
            </w:rPr>
            <w:fldChar w:fldCharType="separate"/>
          </w:r>
          <w:r>
            <w:rPr>
              <w:sz w:val="24"/>
              <w:szCs w:val="24"/>
            </w:rPr>
            <w:t>- 118 -</w:t>
          </w:r>
          <w:r>
            <w:rPr>
              <w:sz w:val="24"/>
              <w:szCs w:val="24"/>
            </w:rPr>
            <w:fldChar w:fldCharType="end"/>
          </w:r>
          <w:r>
            <w:rPr>
              <w:rFonts w:hint="eastAsia" w:ascii="Times New Roman" w:hAnsi="Times New Roman" w:eastAsia="方正小标宋_GBK" w:cs="Times New Roman"/>
              <w:color w:val="auto"/>
              <w:kern w:val="2"/>
              <w:sz w:val="24"/>
              <w:szCs w:val="24"/>
              <w:u w:val="none"/>
              <w:lang w:val="en-US" w:eastAsia="zh-CN" w:bidi="ar-SA"/>
            </w:rPr>
            <w:fldChar w:fldCharType="end"/>
          </w:r>
        </w:p>
        <w:p w14:paraId="6C34EE53">
          <w:pPr>
            <w:pStyle w:val="11"/>
            <w:tabs>
              <w:tab w:val="right" w:leader="dot" w:pos="9026"/>
            </w:tabs>
            <w:spacing w:line="360" w:lineRule="auto"/>
            <w:rPr>
              <w:sz w:val="24"/>
              <w:szCs w:val="24"/>
            </w:rPr>
          </w:pPr>
          <w:r>
            <w:rPr>
              <w:rFonts w:hint="eastAsia" w:ascii="Times New Roman" w:hAnsi="Times New Roman" w:eastAsia="方正小标宋_GBK" w:cs="Times New Roman"/>
              <w:color w:val="auto"/>
              <w:kern w:val="2"/>
              <w:sz w:val="24"/>
              <w:szCs w:val="24"/>
              <w:u w:val="none"/>
              <w:lang w:val="en-US" w:eastAsia="zh-CN" w:bidi="ar-SA"/>
            </w:rPr>
            <w:fldChar w:fldCharType="begin"/>
          </w:r>
          <w:r>
            <w:rPr>
              <w:rFonts w:hint="eastAsia" w:ascii="Times New Roman" w:hAnsi="Times New Roman" w:eastAsia="方正小标宋_GBK" w:cs="Times New Roman"/>
              <w:kern w:val="2"/>
              <w:sz w:val="24"/>
              <w:szCs w:val="24"/>
              <w:lang w:val="en-US" w:eastAsia="zh-CN" w:bidi="ar-SA"/>
            </w:rPr>
            <w:instrText xml:space="preserve"> HYPERLINK \l _Toc17598 </w:instrText>
          </w:r>
          <w:r>
            <w:rPr>
              <w:rFonts w:hint="eastAsia" w:ascii="Times New Roman" w:hAnsi="Times New Roman" w:eastAsia="方正小标宋_GBK" w:cs="Times New Roman"/>
              <w:kern w:val="2"/>
              <w:sz w:val="24"/>
              <w:szCs w:val="24"/>
              <w:lang w:val="en-US" w:eastAsia="zh-CN" w:bidi="ar-SA"/>
            </w:rPr>
            <w:fldChar w:fldCharType="separate"/>
          </w:r>
          <w:r>
            <w:rPr>
              <w:rFonts w:hint="eastAsia" w:ascii="Times New Roman" w:hAnsi="Times New Roman" w:eastAsia="黑体" w:cs="Times New Roman"/>
              <w:bCs/>
              <w:kern w:val="2"/>
              <w:sz w:val="24"/>
              <w:szCs w:val="24"/>
              <w:highlight w:val="none"/>
              <w:lang w:val="en-US" w:eastAsia="zh-CN" w:bidi="ar-SA"/>
            </w:rPr>
            <w:t>第三节着力建设健康扶沟</w:t>
          </w:r>
          <w:r>
            <w:rPr>
              <w:sz w:val="24"/>
              <w:szCs w:val="24"/>
            </w:rPr>
            <w:tab/>
          </w:r>
          <w:r>
            <w:rPr>
              <w:sz w:val="24"/>
              <w:szCs w:val="24"/>
            </w:rPr>
            <w:fldChar w:fldCharType="begin"/>
          </w:r>
          <w:r>
            <w:rPr>
              <w:sz w:val="24"/>
              <w:szCs w:val="24"/>
            </w:rPr>
            <w:instrText xml:space="preserve"> PAGEREF _Toc17598 \h </w:instrText>
          </w:r>
          <w:r>
            <w:rPr>
              <w:sz w:val="24"/>
              <w:szCs w:val="24"/>
            </w:rPr>
            <w:fldChar w:fldCharType="separate"/>
          </w:r>
          <w:r>
            <w:rPr>
              <w:sz w:val="24"/>
              <w:szCs w:val="24"/>
            </w:rPr>
            <w:t>- 121 -</w:t>
          </w:r>
          <w:r>
            <w:rPr>
              <w:sz w:val="24"/>
              <w:szCs w:val="24"/>
            </w:rPr>
            <w:fldChar w:fldCharType="end"/>
          </w:r>
          <w:r>
            <w:rPr>
              <w:rFonts w:hint="eastAsia" w:ascii="Times New Roman" w:hAnsi="Times New Roman" w:eastAsia="方正小标宋_GBK" w:cs="Times New Roman"/>
              <w:color w:val="auto"/>
              <w:kern w:val="2"/>
              <w:sz w:val="24"/>
              <w:szCs w:val="24"/>
              <w:u w:val="none"/>
              <w:lang w:val="en-US" w:eastAsia="zh-CN" w:bidi="ar-SA"/>
            </w:rPr>
            <w:fldChar w:fldCharType="end"/>
          </w:r>
        </w:p>
        <w:p w14:paraId="7D0AEF2A">
          <w:pPr>
            <w:pStyle w:val="11"/>
            <w:tabs>
              <w:tab w:val="right" w:leader="dot" w:pos="9026"/>
            </w:tabs>
            <w:spacing w:line="360" w:lineRule="auto"/>
            <w:rPr>
              <w:sz w:val="24"/>
              <w:szCs w:val="24"/>
            </w:rPr>
          </w:pPr>
          <w:r>
            <w:rPr>
              <w:rFonts w:hint="eastAsia" w:ascii="Times New Roman" w:hAnsi="Times New Roman" w:eastAsia="方正小标宋_GBK" w:cs="Times New Roman"/>
              <w:color w:val="auto"/>
              <w:kern w:val="2"/>
              <w:sz w:val="24"/>
              <w:szCs w:val="24"/>
              <w:u w:val="none"/>
              <w:lang w:val="en-US" w:eastAsia="zh-CN" w:bidi="ar-SA"/>
            </w:rPr>
            <w:fldChar w:fldCharType="begin"/>
          </w:r>
          <w:r>
            <w:rPr>
              <w:rFonts w:hint="eastAsia" w:ascii="Times New Roman" w:hAnsi="Times New Roman" w:eastAsia="方正小标宋_GBK" w:cs="Times New Roman"/>
              <w:kern w:val="2"/>
              <w:sz w:val="24"/>
              <w:szCs w:val="24"/>
              <w:lang w:val="en-US" w:eastAsia="zh-CN" w:bidi="ar-SA"/>
            </w:rPr>
            <w:instrText xml:space="preserve"> HYPERLINK \l _Toc18487 </w:instrText>
          </w:r>
          <w:r>
            <w:rPr>
              <w:rFonts w:hint="eastAsia" w:ascii="Times New Roman" w:hAnsi="Times New Roman" w:eastAsia="方正小标宋_GBK" w:cs="Times New Roman"/>
              <w:kern w:val="2"/>
              <w:sz w:val="24"/>
              <w:szCs w:val="24"/>
              <w:lang w:val="en-US" w:eastAsia="zh-CN" w:bidi="ar-SA"/>
            </w:rPr>
            <w:fldChar w:fldCharType="separate"/>
          </w:r>
          <w:r>
            <w:rPr>
              <w:rFonts w:hint="eastAsia" w:ascii="Times New Roman" w:hAnsi="Times New Roman" w:eastAsia="黑体" w:cs="Times New Roman"/>
              <w:bCs/>
              <w:kern w:val="2"/>
              <w:sz w:val="24"/>
              <w:szCs w:val="24"/>
              <w:highlight w:val="none"/>
              <w:lang w:val="en-US" w:eastAsia="zh-CN" w:bidi="ar-SA"/>
            </w:rPr>
            <w:t>第四节建设老幼友好社会</w:t>
          </w:r>
          <w:r>
            <w:rPr>
              <w:sz w:val="24"/>
              <w:szCs w:val="24"/>
            </w:rPr>
            <w:tab/>
          </w:r>
          <w:r>
            <w:rPr>
              <w:sz w:val="24"/>
              <w:szCs w:val="24"/>
            </w:rPr>
            <w:fldChar w:fldCharType="begin"/>
          </w:r>
          <w:r>
            <w:rPr>
              <w:sz w:val="24"/>
              <w:szCs w:val="24"/>
            </w:rPr>
            <w:instrText xml:space="preserve"> PAGEREF _Toc18487 \h </w:instrText>
          </w:r>
          <w:r>
            <w:rPr>
              <w:sz w:val="24"/>
              <w:szCs w:val="24"/>
            </w:rPr>
            <w:fldChar w:fldCharType="separate"/>
          </w:r>
          <w:r>
            <w:rPr>
              <w:sz w:val="24"/>
              <w:szCs w:val="24"/>
            </w:rPr>
            <w:t>- 124 -</w:t>
          </w:r>
          <w:r>
            <w:rPr>
              <w:sz w:val="24"/>
              <w:szCs w:val="24"/>
            </w:rPr>
            <w:fldChar w:fldCharType="end"/>
          </w:r>
          <w:r>
            <w:rPr>
              <w:rFonts w:hint="eastAsia" w:ascii="Times New Roman" w:hAnsi="Times New Roman" w:eastAsia="方正小标宋_GBK" w:cs="Times New Roman"/>
              <w:color w:val="auto"/>
              <w:kern w:val="2"/>
              <w:sz w:val="24"/>
              <w:szCs w:val="24"/>
              <w:u w:val="none"/>
              <w:lang w:val="en-US" w:eastAsia="zh-CN" w:bidi="ar-SA"/>
            </w:rPr>
            <w:fldChar w:fldCharType="end"/>
          </w:r>
        </w:p>
        <w:p w14:paraId="67CB6306">
          <w:pPr>
            <w:pStyle w:val="11"/>
            <w:tabs>
              <w:tab w:val="right" w:leader="dot" w:pos="9026"/>
            </w:tabs>
            <w:spacing w:line="360" w:lineRule="auto"/>
            <w:rPr>
              <w:sz w:val="24"/>
              <w:szCs w:val="24"/>
            </w:rPr>
          </w:pPr>
          <w:r>
            <w:rPr>
              <w:rFonts w:hint="eastAsia" w:ascii="Times New Roman" w:hAnsi="Times New Roman" w:eastAsia="方正小标宋_GBK" w:cs="Times New Roman"/>
              <w:color w:val="auto"/>
              <w:kern w:val="2"/>
              <w:sz w:val="24"/>
              <w:szCs w:val="24"/>
              <w:u w:val="none"/>
              <w:lang w:val="en-US" w:eastAsia="zh-CN" w:bidi="ar-SA"/>
            </w:rPr>
            <w:fldChar w:fldCharType="begin"/>
          </w:r>
          <w:r>
            <w:rPr>
              <w:rFonts w:hint="eastAsia" w:ascii="Times New Roman" w:hAnsi="Times New Roman" w:eastAsia="方正小标宋_GBK" w:cs="Times New Roman"/>
              <w:kern w:val="2"/>
              <w:sz w:val="24"/>
              <w:szCs w:val="24"/>
              <w:lang w:val="en-US" w:eastAsia="zh-CN" w:bidi="ar-SA"/>
            </w:rPr>
            <w:instrText xml:space="preserve"> HYPERLINK \l _Toc31833 </w:instrText>
          </w:r>
          <w:r>
            <w:rPr>
              <w:rFonts w:hint="eastAsia" w:ascii="Times New Roman" w:hAnsi="Times New Roman" w:eastAsia="方正小标宋_GBK" w:cs="Times New Roman"/>
              <w:kern w:val="2"/>
              <w:sz w:val="24"/>
              <w:szCs w:val="24"/>
              <w:lang w:val="en-US" w:eastAsia="zh-CN" w:bidi="ar-SA"/>
            </w:rPr>
            <w:fldChar w:fldCharType="separate"/>
          </w:r>
          <w:r>
            <w:rPr>
              <w:rFonts w:hint="eastAsia" w:ascii="Times New Roman" w:hAnsi="Times New Roman" w:eastAsia="黑体" w:cs="Times New Roman"/>
              <w:bCs/>
              <w:kern w:val="2"/>
              <w:sz w:val="24"/>
              <w:szCs w:val="24"/>
              <w:highlight w:val="none"/>
              <w:lang w:val="en-US" w:eastAsia="zh-CN" w:bidi="ar-SA"/>
            </w:rPr>
            <w:t>第五节构建多元社会保障</w:t>
          </w:r>
          <w:r>
            <w:rPr>
              <w:sz w:val="24"/>
              <w:szCs w:val="24"/>
            </w:rPr>
            <w:tab/>
          </w:r>
          <w:r>
            <w:rPr>
              <w:sz w:val="24"/>
              <w:szCs w:val="24"/>
            </w:rPr>
            <w:fldChar w:fldCharType="begin"/>
          </w:r>
          <w:r>
            <w:rPr>
              <w:sz w:val="24"/>
              <w:szCs w:val="24"/>
            </w:rPr>
            <w:instrText xml:space="preserve"> PAGEREF _Toc31833 \h </w:instrText>
          </w:r>
          <w:r>
            <w:rPr>
              <w:sz w:val="24"/>
              <w:szCs w:val="24"/>
            </w:rPr>
            <w:fldChar w:fldCharType="separate"/>
          </w:r>
          <w:r>
            <w:rPr>
              <w:sz w:val="24"/>
              <w:szCs w:val="24"/>
            </w:rPr>
            <w:t>- 125 -</w:t>
          </w:r>
          <w:r>
            <w:rPr>
              <w:sz w:val="24"/>
              <w:szCs w:val="24"/>
            </w:rPr>
            <w:fldChar w:fldCharType="end"/>
          </w:r>
          <w:r>
            <w:rPr>
              <w:rFonts w:hint="eastAsia" w:ascii="Times New Roman" w:hAnsi="Times New Roman" w:eastAsia="方正小标宋_GBK" w:cs="Times New Roman"/>
              <w:color w:val="auto"/>
              <w:kern w:val="2"/>
              <w:sz w:val="24"/>
              <w:szCs w:val="24"/>
              <w:u w:val="none"/>
              <w:lang w:val="en-US" w:eastAsia="zh-CN" w:bidi="ar-SA"/>
            </w:rPr>
            <w:fldChar w:fldCharType="end"/>
          </w:r>
        </w:p>
        <w:p w14:paraId="6804313B">
          <w:pPr>
            <w:pStyle w:val="14"/>
            <w:tabs>
              <w:tab w:val="right" w:leader="dot" w:pos="9026"/>
            </w:tabs>
            <w:spacing w:line="360" w:lineRule="auto"/>
            <w:rPr>
              <w:sz w:val="24"/>
              <w:szCs w:val="24"/>
            </w:rPr>
          </w:pPr>
          <w:r>
            <w:rPr>
              <w:rFonts w:hint="eastAsia" w:ascii="Times New Roman" w:hAnsi="Times New Roman" w:eastAsia="方正小标宋_GBK" w:cs="Times New Roman"/>
              <w:color w:val="auto"/>
              <w:kern w:val="2"/>
              <w:sz w:val="24"/>
              <w:szCs w:val="24"/>
              <w:u w:val="none"/>
              <w:lang w:val="en-US" w:eastAsia="zh-CN" w:bidi="ar-SA"/>
            </w:rPr>
            <w:fldChar w:fldCharType="begin"/>
          </w:r>
          <w:r>
            <w:rPr>
              <w:rFonts w:hint="eastAsia" w:ascii="Times New Roman" w:hAnsi="Times New Roman" w:eastAsia="方正小标宋_GBK" w:cs="Times New Roman"/>
              <w:kern w:val="2"/>
              <w:sz w:val="24"/>
              <w:szCs w:val="24"/>
              <w:lang w:val="en-US" w:eastAsia="zh-CN" w:bidi="ar-SA"/>
            </w:rPr>
            <w:instrText xml:space="preserve"> HYPERLINK \l _Toc26942 </w:instrText>
          </w:r>
          <w:r>
            <w:rPr>
              <w:rFonts w:hint="eastAsia" w:ascii="Times New Roman" w:hAnsi="Times New Roman" w:eastAsia="方正小标宋_GBK" w:cs="Times New Roman"/>
              <w:kern w:val="2"/>
              <w:sz w:val="24"/>
              <w:szCs w:val="24"/>
              <w:lang w:val="en-US" w:eastAsia="zh-CN" w:bidi="ar-SA"/>
            </w:rPr>
            <w:fldChar w:fldCharType="separate"/>
          </w:r>
          <w:r>
            <w:rPr>
              <w:rFonts w:hint="eastAsia" w:ascii="Times New Roman" w:hAnsi="Times New Roman" w:eastAsia="方正小标宋_GBK" w:cs="Times New Roman"/>
              <w:kern w:val="2"/>
              <w:sz w:val="24"/>
              <w:szCs w:val="24"/>
              <w:highlight w:val="none"/>
              <w:lang w:val="en-US" w:eastAsia="zh-CN" w:bidi="ar-SA"/>
            </w:rPr>
            <w:t>板块六：社会治理</w:t>
          </w:r>
          <w:r>
            <w:rPr>
              <w:sz w:val="24"/>
              <w:szCs w:val="24"/>
            </w:rPr>
            <w:tab/>
          </w:r>
          <w:r>
            <w:rPr>
              <w:sz w:val="24"/>
              <w:szCs w:val="24"/>
            </w:rPr>
            <w:fldChar w:fldCharType="begin"/>
          </w:r>
          <w:r>
            <w:rPr>
              <w:sz w:val="24"/>
              <w:szCs w:val="24"/>
            </w:rPr>
            <w:instrText xml:space="preserve"> PAGEREF _Toc26942 \h </w:instrText>
          </w:r>
          <w:r>
            <w:rPr>
              <w:sz w:val="24"/>
              <w:szCs w:val="24"/>
            </w:rPr>
            <w:fldChar w:fldCharType="separate"/>
          </w:r>
          <w:r>
            <w:rPr>
              <w:sz w:val="24"/>
              <w:szCs w:val="24"/>
            </w:rPr>
            <w:t>- 128 -</w:t>
          </w:r>
          <w:r>
            <w:rPr>
              <w:sz w:val="24"/>
              <w:szCs w:val="24"/>
            </w:rPr>
            <w:fldChar w:fldCharType="end"/>
          </w:r>
          <w:r>
            <w:rPr>
              <w:rFonts w:hint="eastAsia" w:ascii="Times New Roman" w:hAnsi="Times New Roman" w:eastAsia="方正小标宋_GBK" w:cs="Times New Roman"/>
              <w:color w:val="auto"/>
              <w:kern w:val="2"/>
              <w:sz w:val="24"/>
              <w:szCs w:val="24"/>
              <w:u w:val="none"/>
              <w:lang w:val="en-US" w:eastAsia="zh-CN" w:bidi="ar-SA"/>
            </w:rPr>
            <w:fldChar w:fldCharType="end"/>
          </w:r>
        </w:p>
        <w:p w14:paraId="69920502">
          <w:pPr>
            <w:pStyle w:val="16"/>
            <w:tabs>
              <w:tab w:val="right" w:leader="dot" w:pos="9026"/>
            </w:tabs>
            <w:spacing w:line="360" w:lineRule="auto"/>
            <w:rPr>
              <w:sz w:val="24"/>
              <w:szCs w:val="24"/>
            </w:rPr>
          </w:pPr>
          <w:r>
            <w:rPr>
              <w:rFonts w:hint="eastAsia" w:ascii="Times New Roman" w:hAnsi="Times New Roman" w:eastAsia="方正小标宋_GBK" w:cs="Times New Roman"/>
              <w:color w:val="auto"/>
              <w:kern w:val="2"/>
              <w:sz w:val="24"/>
              <w:szCs w:val="24"/>
              <w:u w:val="none"/>
              <w:lang w:val="en-US" w:eastAsia="zh-CN" w:bidi="ar-SA"/>
            </w:rPr>
            <w:fldChar w:fldCharType="begin"/>
          </w:r>
          <w:r>
            <w:rPr>
              <w:rFonts w:hint="eastAsia" w:ascii="Times New Roman" w:hAnsi="Times New Roman" w:eastAsia="方正小标宋_GBK" w:cs="Times New Roman"/>
              <w:kern w:val="2"/>
              <w:sz w:val="24"/>
              <w:szCs w:val="24"/>
              <w:lang w:val="en-US" w:eastAsia="zh-CN" w:bidi="ar-SA"/>
            </w:rPr>
            <w:instrText xml:space="preserve"> HYPERLINK \l _Toc30688 </w:instrText>
          </w:r>
          <w:r>
            <w:rPr>
              <w:rFonts w:hint="eastAsia" w:ascii="Times New Roman" w:hAnsi="Times New Roman" w:eastAsia="方正小标宋_GBK" w:cs="Times New Roman"/>
              <w:kern w:val="2"/>
              <w:sz w:val="24"/>
              <w:szCs w:val="24"/>
              <w:lang w:val="en-US" w:eastAsia="zh-CN" w:bidi="ar-SA"/>
            </w:rPr>
            <w:fldChar w:fldCharType="separate"/>
          </w:r>
          <w:r>
            <w:rPr>
              <w:rFonts w:hint="eastAsia" w:ascii="Times New Roman" w:hAnsi="Times New Roman" w:eastAsia="方正小标宋_GBK" w:cs="Times New Roman"/>
              <w:kern w:val="2"/>
              <w:sz w:val="24"/>
              <w:szCs w:val="24"/>
              <w:highlight w:val="none"/>
              <w:lang w:val="en-US" w:eastAsia="zh-CN" w:bidi="ar-SA"/>
            </w:rPr>
            <w:t>第十三章实施高效能治理，夯实高质量发展根基</w:t>
          </w:r>
          <w:r>
            <w:rPr>
              <w:sz w:val="24"/>
              <w:szCs w:val="24"/>
            </w:rPr>
            <w:tab/>
          </w:r>
          <w:r>
            <w:rPr>
              <w:sz w:val="24"/>
              <w:szCs w:val="24"/>
            </w:rPr>
            <w:fldChar w:fldCharType="begin"/>
          </w:r>
          <w:r>
            <w:rPr>
              <w:sz w:val="24"/>
              <w:szCs w:val="24"/>
            </w:rPr>
            <w:instrText xml:space="preserve"> PAGEREF _Toc30688 \h </w:instrText>
          </w:r>
          <w:r>
            <w:rPr>
              <w:sz w:val="24"/>
              <w:szCs w:val="24"/>
            </w:rPr>
            <w:fldChar w:fldCharType="separate"/>
          </w:r>
          <w:r>
            <w:rPr>
              <w:sz w:val="24"/>
              <w:szCs w:val="24"/>
            </w:rPr>
            <w:t>- 128 -</w:t>
          </w:r>
          <w:r>
            <w:rPr>
              <w:sz w:val="24"/>
              <w:szCs w:val="24"/>
            </w:rPr>
            <w:fldChar w:fldCharType="end"/>
          </w:r>
          <w:r>
            <w:rPr>
              <w:rFonts w:hint="eastAsia" w:ascii="Times New Roman" w:hAnsi="Times New Roman" w:eastAsia="方正小标宋_GBK" w:cs="Times New Roman"/>
              <w:color w:val="auto"/>
              <w:kern w:val="2"/>
              <w:sz w:val="24"/>
              <w:szCs w:val="24"/>
              <w:u w:val="none"/>
              <w:lang w:val="en-US" w:eastAsia="zh-CN" w:bidi="ar-SA"/>
            </w:rPr>
            <w:fldChar w:fldCharType="end"/>
          </w:r>
        </w:p>
        <w:p w14:paraId="05BA81C1">
          <w:pPr>
            <w:pStyle w:val="11"/>
            <w:tabs>
              <w:tab w:val="right" w:leader="dot" w:pos="9026"/>
            </w:tabs>
            <w:spacing w:line="360" w:lineRule="auto"/>
            <w:rPr>
              <w:sz w:val="24"/>
              <w:szCs w:val="24"/>
            </w:rPr>
          </w:pPr>
          <w:r>
            <w:rPr>
              <w:rFonts w:hint="eastAsia" w:ascii="Times New Roman" w:hAnsi="Times New Roman" w:eastAsia="方正小标宋_GBK" w:cs="Times New Roman"/>
              <w:color w:val="auto"/>
              <w:kern w:val="2"/>
              <w:sz w:val="24"/>
              <w:szCs w:val="24"/>
              <w:u w:val="none"/>
              <w:lang w:val="en-US" w:eastAsia="zh-CN" w:bidi="ar-SA"/>
            </w:rPr>
            <w:fldChar w:fldCharType="begin"/>
          </w:r>
          <w:r>
            <w:rPr>
              <w:rFonts w:hint="eastAsia" w:ascii="Times New Roman" w:hAnsi="Times New Roman" w:eastAsia="方正小标宋_GBK" w:cs="Times New Roman"/>
              <w:kern w:val="2"/>
              <w:sz w:val="24"/>
              <w:szCs w:val="24"/>
              <w:lang w:val="en-US" w:eastAsia="zh-CN" w:bidi="ar-SA"/>
            </w:rPr>
            <w:instrText xml:space="preserve"> HYPERLINK \l _Toc14458 </w:instrText>
          </w:r>
          <w:r>
            <w:rPr>
              <w:rFonts w:hint="eastAsia" w:ascii="Times New Roman" w:hAnsi="Times New Roman" w:eastAsia="方正小标宋_GBK" w:cs="Times New Roman"/>
              <w:kern w:val="2"/>
              <w:sz w:val="24"/>
              <w:szCs w:val="24"/>
              <w:lang w:val="en-US" w:eastAsia="zh-CN" w:bidi="ar-SA"/>
            </w:rPr>
            <w:fldChar w:fldCharType="separate"/>
          </w:r>
          <w:r>
            <w:rPr>
              <w:rFonts w:hint="eastAsia" w:ascii="Times New Roman" w:hAnsi="Times New Roman" w:eastAsia="黑体" w:cs="Times New Roman"/>
              <w:bCs/>
              <w:kern w:val="2"/>
              <w:sz w:val="24"/>
              <w:szCs w:val="24"/>
              <w:highlight w:val="none"/>
              <w:lang w:val="en-US" w:eastAsia="zh-CN" w:bidi="ar-SA"/>
            </w:rPr>
            <w:t>第一节深入推进依法行政</w:t>
          </w:r>
          <w:r>
            <w:rPr>
              <w:sz w:val="24"/>
              <w:szCs w:val="24"/>
            </w:rPr>
            <w:tab/>
          </w:r>
          <w:r>
            <w:rPr>
              <w:sz w:val="24"/>
              <w:szCs w:val="24"/>
            </w:rPr>
            <w:fldChar w:fldCharType="begin"/>
          </w:r>
          <w:r>
            <w:rPr>
              <w:sz w:val="24"/>
              <w:szCs w:val="24"/>
            </w:rPr>
            <w:instrText xml:space="preserve"> PAGEREF _Toc14458 \h </w:instrText>
          </w:r>
          <w:r>
            <w:rPr>
              <w:sz w:val="24"/>
              <w:szCs w:val="24"/>
            </w:rPr>
            <w:fldChar w:fldCharType="separate"/>
          </w:r>
          <w:r>
            <w:rPr>
              <w:sz w:val="24"/>
              <w:szCs w:val="24"/>
            </w:rPr>
            <w:t>- 129 -</w:t>
          </w:r>
          <w:r>
            <w:rPr>
              <w:sz w:val="24"/>
              <w:szCs w:val="24"/>
            </w:rPr>
            <w:fldChar w:fldCharType="end"/>
          </w:r>
          <w:r>
            <w:rPr>
              <w:rFonts w:hint="eastAsia" w:ascii="Times New Roman" w:hAnsi="Times New Roman" w:eastAsia="方正小标宋_GBK" w:cs="Times New Roman"/>
              <w:color w:val="auto"/>
              <w:kern w:val="2"/>
              <w:sz w:val="24"/>
              <w:szCs w:val="24"/>
              <w:u w:val="none"/>
              <w:lang w:val="en-US" w:eastAsia="zh-CN" w:bidi="ar-SA"/>
            </w:rPr>
            <w:fldChar w:fldCharType="end"/>
          </w:r>
        </w:p>
        <w:p w14:paraId="20C23BF9">
          <w:pPr>
            <w:pStyle w:val="11"/>
            <w:tabs>
              <w:tab w:val="right" w:leader="dot" w:pos="9026"/>
            </w:tabs>
            <w:spacing w:line="360" w:lineRule="auto"/>
            <w:rPr>
              <w:sz w:val="24"/>
              <w:szCs w:val="24"/>
            </w:rPr>
          </w:pPr>
          <w:r>
            <w:rPr>
              <w:rFonts w:hint="eastAsia" w:ascii="Times New Roman" w:hAnsi="Times New Roman" w:eastAsia="方正小标宋_GBK" w:cs="Times New Roman"/>
              <w:color w:val="auto"/>
              <w:kern w:val="2"/>
              <w:sz w:val="24"/>
              <w:szCs w:val="24"/>
              <w:u w:val="none"/>
              <w:lang w:val="en-US" w:eastAsia="zh-CN" w:bidi="ar-SA"/>
            </w:rPr>
            <w:fldChar w:fldCharType="begin"/>
          </w:r>
          <w:r>
            <w:rPr>
              <w:rFonts w:hint="eastAsia" w:ascii="Times New Roman" w:hAnsi="Times New Roman" w:eastAsia="方正小标宋_GBK" w:cs="Times New Roman"/>
              <w:kern w:val="2"/>
              <w:sz w:val="24"/>
              <w:szCs w:val="24"/>
              <w:lang w:val="en-US" w:eastAsia="zh-CN" w:bidi="ar-SA"/>
            </w:rPr>
            <w:instrText xml:space="preserve"> HYPERLINK \l _Toc11229 </w:instrText>
          </w:r>
          <w:r>
            <w:rPr>
              <w:rFonts w:hint="eastAsia" w:ascii="Times New Roman" w:hAnsi="Times New Roman" w:eastAsia="方正小标宋_GBK" w:cs="Times New Roman"/>
              <w:kern w:val="2"/>
              <w:sz w:val="24"/>
              <w:szCs w:val="24"/>
              <w:lang w:val="en-US" w:eastAsia="zh-CN" w:bidi="ar-SA"/>
            </w:rPr>
            <w:fldChar w:fldCharType="separate"/>
          </w:r>
          <w:r>
            <w:rPr>
              <w:rFonts w:hint="eastAsia" w:ascii="Times New Roman" w:hAnsi="Times New Roman" w:eastAsia="黑体" w:cs="Times New Roman"/>
              <w:bCs/>
              <w:kern w:val="2"/>
              <w:sz w:val="24"/>
              <w:szCs w:val="24"/>
              <w:highlight w:val="none"/>
              <w:lang w:val="en-US" w:eastAsia="zh-CN" w:bidi="ar-SA"/>
            </w:rPr>
            <w:t>第二节提升社会治理效能</w:t>
          </w:r>
          <w:r>
            <w:rPr>
              <w:sz w:val="24"/>
              <w:szCs w:val="24"/>
            </w:rPr>
            <w:tab/>
          </w:r>
          <w:r>
            <w:rPr>
              <w:sz w:val="24"/>
              <w:szCs w:val="24"/>
            </w:rPr>
            <w:fldChar w:fldCharType="begin"/>
          </w:r>
          <w:r>
            <w:rPr>
              <w:sz w:val="24"/>
              <w:szCs w:val="24"/>
            </w:rPr>
            <w:instrText xml:space="preserve"> PAGEREF _Toc11229 \h </w:instrText>
          </w:r>
          <w:r>
            <w:rPr>
              <w:sz w:val="24"/>
              <w:szCs w:val="24"/>
            </w:rPr>
            <w:fldChar w:fldCharType="separate"/>
          </w:r>
          <w:r>
            <w:rPr>
              <w:sz w:val="24"/>
              <w:szCs w:val="24"/>
            </w:rPr>
            <w:t>- 129 -</w:t>
          </w:r>
          <w:r>
            <w:rPr>
              <w:sz w:val="24"/>
              <w:szCs w:val="24"/>
            </w:rPr>
            <w:fldChar w:fldCharType="end"/>
          </w:r>
          <w:r>
            <w:rPr>
              <w:rFonts w:hint="eastAsia" w:ascii="Times New Roman" w:hAnsi="Times New Roman" w:eastAsia="方正小标宋_GBK" w:cs="Times New Roman"/>
              <w:color w:val="auto"/>
              <w:kern w:val="2"/>
              <w:sz w:val="24"/>
              <w:szCs w:val="24"/>
              <w:u w:val="none"/>
              <w:lang w:val="en-US" w:eastAsia="zh-CN" w:bidi="ar-SA"/>
            </w:rPr>
            <w:fldChar w:fldCharType="end"/>
          </w:r>
        </w:p>
        <w:p w14:paraId="35D6C2DD">
          <w:pPr>
            <w:pStyle w:val="11"/>
            <w:tabs>
              <w:tab w:val="right" w:leader="dot" w:pos="9026"/>
            </w:tabs>
            <w:spacing w:line="360" w:lineRule="auto"/>
            <w:rPr>
              <w:sz w:val="24"/>
              <w:szCs w:val="24"/>
            </w:rPr>
          </w:pPr>
          <w:r>
            <w:rPr>
              <w:rFonts w:hint="eastAsia" w:ascii="Times New Roman" w:hAnsi="Times New Roman" w:eastAsia="方正小标宋_GBK" w:cs="Times New Roman"/>
              <w:color w:val="auto"/>
              <w:kern w:val="2"/>
              <w:sz w:val="24"/>
              <w:szCs w:val="24"/>
              <w:u w:val="none"/>
              <w:lang w:val="en-US" w:eastAsia="zh-CN" w:bidi="ar-SA"/>
            </w:rPr>
            <w:fldChar w:fldCharType="begin"/>
          </w:r>
          <w:r>
            <w:rPr>
              <w:rFonts w:hint="eastAsia" w:ascii="Times New Roman" w:hAnsi="Times New Roman" w:eastAsia="方正小标宋_GBK" w:cs="Times New Roman"/>
              <w:kern w:val="2"/>
              <w:sz w:val="24"/>
              <w:szCs w:val="24"/>
              <w:lang w:val="en-US" w:eastAsia="zh-CN" w:bidi="ar-SA"/>
            </w:rPr>
            <w:instrText xml:space="preserve"> HYPERLINK \l _Toc523 </w:instrText>
          </w:r>
          <w:r>
            <w:rPr>
              <w:rFonts w:hint="eastAsia" w:ascii="Times New Roman" w:hAnsi="Times New Roman" w:eastAsia="方正小标宋_GBK" w:cs="Times New Roman"/>
              <w:kern w:val="2"/>
              <w:sz w:val="24"/>
              <w:szCs w:val="24"/>
              <w:lang w:val="en-US" w:eastAsia="zh-CN" w:bidi="ar-SA"/>
            </w:rPr>
            <w:fldChar w:fldCharType="separate"/>
          </w:r>
          <w:r>
            <w:rPr>
              <w:rFonts w:hint="eastAsia" w:ascii="Times New Roman" w:hAnsi="Times New Roman" w:eastAsia="黑体" w:cs="Times New Roman"/>
              <w:bCs/>
              <w:kern w:val="2"/>
              <w:sz w:val="24"/>
              <w:szCs w:val="24"/>
              <w:highlight w:val="none"/>
              <w:lang w:val="en-US" w:eastAsia="zh-CN" w:bidi="ar-SA"/>
            </w:rPr>
            <w:t>第三节全面抓好安全管理</w:t>
          </w:r>
          <w:r>
            <w:rPr>
              <w:sz w:val="24"/>
              <w:szCs w:val="24"/>
            </w:rPr>
            <w:tab/>
          </w:r>
          <w:r>
            <w:rPr>
              <w:sz w:val="24"/>
              <w:szCs w:val="24"/>
            </w:rPr>
            <w:fldChar w:fldCharType="begin"/>
          </w:r>
          <w:r>
            <w:rPr>
              <w:sz w:val="24"/>
              <w:szCs w:val="24"/>
            </w:rPr>
            <w:instrText xml:space="preserve"> PAGEREF _Toc523 \h </w:instrText>
          </w:r>
          <w:r>
            <w:rPr>
              <w:sz w:val="24"/>
              <w:szCs w:val="24"/>
            </w:rPr>
            <w:fldChar w:fldCharType="separate"/>
          </w:r>
          <w:r>
            <w:rPr>
              <w:sz w:val="24"/>
              <w:szCs w:val="24"/>
            </w:rPr>
            <w:t>- 130 -</w:t>
          </w:r>
          <w:r>
            <w:rPr>
              <w:sz w:val="24"/>
              <w:szCs w:val="24"/>
            </w:rPr>
            <w:fldChar w:fldCharType="end"/>
          </w:r>
          <w:r>
            <w:rPr>
              <w:rFonts w:hint="eastAsia" w:ascii="Times New Roman" w:hAnsi="Times New Roman" w:eastAsia="方正小标宋_GBK" w:cs="Times New Roman"/>
              <w:color w:val="auto"/>
              <w:kern w:val="2"/>
              <w:sz w:val="24"/>
              <w:szCs w:val="24"/>
              <w:u w:val="none"/>
              <w:lang w:val="en-US" w:eastAsia="zh-CN" w:bidi="ar-SA"/>
            </w:rPr>
            <w:fldChar w:fldCharType="end"/>
          </w:r>
        </w:p>
        <w:p w14:paraId="4CE1A60D">
          <w:pPr>
            <w:pStyle w:val="11"/>
            <w:tabs>
              <w:tab w:val="right" w:leader="dot" w:pos="9026"/>
            </w:tabs>
            <w:spacing w:line="360" w:lineRule="auto"/>
            <w:rPr>
              <w:sz w:val="24"/>
              <w:szCs w:val="24"/>
            </w:rPr>
          </w:pPr>
          <w:r>
            <w:rPr>
              <w:rFonts w:hint="eastAsia" w:ascii="Times New Roman" w:hAnsi="Times New Roman" w:eastAsia="方正小标宋_GBK" w:cs="Times New Roman"/>
              <w:color w:val="auto"/>
              <w:kern w:val="2"/>
              <w:sz w:val="24"/>
              <w:szCs w:val="24"/>
              <w:u w:val="none"/>
              <w:lang w:val="en-US" w:eastAsia="zh-CN" w:bidi="ar-SA"/>
            </w:rPr>
            <w:fldChar w:fldCharType="begin"/>
          </w:r>
          <w:r>
            <w:rPr>
              <w:rFonts w:hint="eastAsia" w:ascii="Times New Roman" w:hAnsi="Times New Roman" w:eastAsia="方正小标宋_GBK" w:cs="Times New Roman"/>
              <w:kern w:val="2"/>
              <w:sz w:val="24"/>
              <w:szCs w:val="24"/>
              <w:lang w:val="en-US" w:eastAsia="zh-CN" w:bidi="ar-SA"/>
            </w:rPr>
            <w:instrText xml:space="preserve"> HYPERLINK \l _Toc16046 </w:instrText>
          </w:r>
          <w:r>
            <w:rPr>
              <w:rFonts w:hint="eastAsia" w:ascii="Times New Roman" w:hAnsi="Times New Roman" w:eastAsia="方正小标宋_GBK" w:cs="Times New Roman"/>
              <w:kern w:val="2"/>
              <w:sz w:val="24"/>
              <w:szCs w:val="24"/>
              <w:lang w:val="en-US" w:eastAsia="zh-CN" w:bidi="ar-SA"/>
            </w:rPr>
            <w:fldChar w:fldCharType="separate"/>
          </w:r>
          <w:r>
            <w:rPr>
              <w:rFonts w:hint="eastAsia" w:ascii="Times New Roman" w:hAnsi="Times New Roman" w:eastAsia="黑体" w:cs="Times New Roman"/>
              <w:bCs/>
              <w:kern w:val="2"/>
              <w:sz w:val="24"/>
              <w:szCs w:val="24"/>
              <w:highlight w:val="none"/>
              <w:lang w:val="en-US" w:eastAsia="zh-CN" w:bidi="ar-SA"/>
            </w:rPr>
            <w:t>第四节持续强化风险防范</w:t>
          </w:r>
          <w:r>
            <w:rPr>
              <w:sz w:val="24"/>
              <w:szCs w:val="24"/>
            </w:rPr>
            <w:tab/>
          </w:r>
          <w:r>
            <w:rPr>
              <w:sz w:val="24"/>
              <w:szCs w:val="24"/>
            </w:rPr>
            <w:fldChar w:fldCharType="begin"/>
          </w:r>
          <w:r>
            <w:rPr>
              <w:sz w:val="24"/>
              <w:szCs w:val="24"/>
            </w:rPr>
            <w:instrText xml:space="preserve"> PAGEREF _Toc16046 \h </w:instrText>
          </w:r>
          <w:r>
            <w:rPr>
              <w:sz w:val="24"/>
              <w:szCs w:val="24"/>
            </w:rPr>
            <w:fldChar w:fldCharType="separate"/>
          </w:r>
          <w:r>
            <w:rPr>
              <w:sz w:val="24"/>
              <w:szCs w:val="24"/>
            </w:rPr>
            <w:t>- 130 -</w:t>
          </w:r>
          <w:r>
            <w:rPr>
              <w:sz w:val="24"/>
              <w:szCs w:val="24"/>
            </w:rPr>
            <w:fldChar w:fldCharType="end"/>
          </w:r>
          <w:r>
            <w:rPr>
              <w:rFonts w:hint="eastAsia" w:ascii="Times New Roman" w:hAnsi="Times New Roman" w:eastAsia="方正小标宋_GBK" w:cs="Times New Roman"/>
              <w:color w:val="auto"/>
              <w:kern w:val="2"/>
              <w:sz w:val="24"/>
              <w:szCs w:val="24"/>
              <w:u w:val="none"/>
              <w:lang w:val="en-US" w:eastAsia="zh-CN" w:bidi="ar-SA"/>
            </w:rPr>
            <w:fldChar w:fldCharType="end"/>
          </w:r>
        </w:p>
        <w:p w14:paraId="69160883">
          <w:pPr>
            <w:pStyle w:val="14"/>
            <w:tabs>
              <w:tab w:val="right" w:leader="dot" w:pos="9026"/>
            </w:tabs>
            <w:spacing w:line="360" w:lineRule="auto"/>
            <w:rPr>
              <w:sz w:val="24"/>
              <w:szCs w:val="24"/>
            </w:rPr>
          </w:pPr>
          <w:r>
            <w:rPr>
              <w:rFonts w:hint="eastAsia" w:ascii="Times New Roman" w:hAnsi="Times New Roman" w:eastAsia="方正小标宋_GBK" w:cs="Times New Roman"/>
              <w:color w:val="auto"/>
              <w:kern w:val="2"/>
              <w:sz w:val="24"/>
              <w:szCs w:val="24"/>
              <w:u w:val="none"/>
              <w:lang w:val="en-US" w:eastAsia="zh-CN" w:bidi="ar-SA"/>
            </w:rPr>
            <w:fldChar w:fldCharType="begin"/>
          </w:r>
          <w:r>
            <w:rPr>
              <w:rFonts w:hint="eastAsia" w:ascii="Times New Roman" w:hAnsi="Times New Roman" w:eastAsia="方正小标宋_GBK" w:cs="Times New Roman"/>
              <w:kern w:val="2"/>
              <w:sz w:val="24"/>
              <w:szCs w:val="24"/>
              <w:lang w:val="en-US" w:eastAsia="zh-CN" w:bidi="ar-SA"/>
            </w:rPr>
            <w:instrText xml:space="preserve"> HYPERLINK \l _Toc6832 </w:instrText>
          </w:r>
          <w:r>
            <w:rPr>
              <w:rFonts w:hint="eastAsia" w:ascii="Times New Roman" w:hAnsi="Times New Roman" w:eastAsia="方正小标宋_GBK" w:cs="Times New Roman"/>
              <w:kern w:val="2"/>
              <w:sz w:val="24"/>
              <w:szCs w:val="24"/>
              <w:lang w:val="en-US" w:eastAsia="zh-CN" w:bidi="ar-SA"/>
            </w:rPr>
            <w:fldChar w:fldCharType="separate"/>
          </w:r>
          <w:r>
            <w:rPr>
              <w:rFonts w:hint="eastAsia" w:ascii="Times New Roman" w:hAnsi="Times New Roman" w:eastAsia="方正小标宋_GBK" w:cs="Times New Roman"/>
              <w:kern w:val="2"/>
              <w:sz w:val="24"/>
              <w:szCs w:val="24"/>
              <w:highlight w:val="none"/>
            </w:rPr>
            <w:t>第</w:t>
          </w:r>
          <w:r>
            <w:rPr>
              <w:rFonts w:hint="eastAsia" w:ascii="Times New Roman" w:hAnsi="Times New Roman" w:eastAsia="方正小标宋_GBK" w:cs="Times New Roman"/>
              <w:kern w:val="2"/>
              <w:sz w:val="24"/>
              <w:szCs w:val="24"/>
              <w:highlight w:val="none"/>
              <w:lang w:val="en-US" w:eastAsia="zh-CN"/>
            </w:rPr>
            <w:t>四</w:t>
          </w:r>
          <w:r>
            <w:rPr>
              <w:rFonts w:hint="eastAsia" w:ascii="Times New Roman" w:hAnsi="Times New Roman" w:eastAsia="方正小标宋_GBK" w:cs="Times New Roman"/>
              <w:kern w:val="2"/>
              <w:sz w:val="24"/>
              <w:szCs w:val="24"/>
              <w:highlight w:val="none"/>
            </w:rPr>
            <w:t>篇：强化“硬支撑”——协同发力促落实</w:t>
          </w:r>
          <w:r>
            <w:rPr>
              <w:sz w:val="24"/>
              <w:szCs w:val="24"/>
            </w:rPr>
            <w:tab/>
          </w:r>
          <w:r>
            <w:rPr>
              <w:sz w:val="24"/>
              <w:szCs w:val="24"/>
            </w:rPr>
            <w:fldChar w:fldCharType="begin"/>
          </w:r>
          <w:r>
            <w:rPr>
              <w:sz w:val="24"/>
              <w:szCs w:val="24"/>
            </w:rPr>
            <w:instrText xml:space="preserve"> PAGEREF _Toc6832 \h </w:instrText>
          </w:r>
          <w:r>
            <w:rPr>
              <w:sz w:val="24"/>
              <w:szCs w:val="24"/>
            </w:rPr>
            <w:fldChar w:fldCharType="separate"/>
          </w:r>
          <w:r>
            <w:rPr>
              <w:sz w:val="24"/>
              <w:szCs w:val="24"/>
            </w:rPr>
            <w:t>- 132 -</w:t>
          </w:r>
          <w:r>
            <w:rPr>
              <w:sz w:val="24"/>
              <w:szCs w:val="24"/>
            </w:rPr>
            <w:fldChar w:fldCharType="end"/>
          </w:r>
          <w:r>
            <w:rPr>
              <w:rFonts w:hint="eastAsia" w:ascii="Times New Roman" w:hAnsi="Times New Roman" w:eastAsia="方正小标宋_GBK" w:cs="Times New Roman"/>
              <w:color w:val="auto"/>
              <w:kern w:val="2"/>
              <w:sz w:val="24"/>
              <w:szCs w:val="24"/>
              <w:u w:val="none"/>
              <w:lang w:val="en-US" w:eastAsia="zh-CN" w:bidi="ar-SA"/>
            </w:rPr>
            <w:fldChar w:fldCharType="end"/>
          </w:r>
        </w:p>
        <w:p w14:paraId="7BF0E8D4">
          <w:pPr>
            <w:pStyle w:val="16"/>
            <w:tabs>
              <w:tab w:val="right" w:leader="dot" w:pos="9026"/>
            </w:tabs>
            <w:spacing w:line="360" w:lineRule="auto"/>
            <w:rPr>
              <w:sz w:val="24"/>
              <w:szCs w:val="24"/>
            </w:rPr>
          </w:pPr>
          <w:r>
            <w:rPr>
              <w:rFonts w:hint="eastAsia" w:ascii="Times New Roman" w:hAnsi="Times New Roman" w:eastAsia="方正小标宋_GBK" w:cs="Times New Roman"/>
              <w:color w:val="auto"/>
              <w:kern w:val="2"/>
              <w:sz w:val="24"/>
              <w:szCs w:val="24"/>
              <w:u w:val="none"/>
              <w:lang w:val="en-US" w:eastAsia="zh-CN" w:bidi="ar-SA"/>
            </w:rPr>
            <w:fldChar w:fldCharType="begin"/>
          </w:r>
          <w:r>
            <w:rPr>
              <w:rFonts w:hint="eastAsia" w:ascii="Times New Roman" w:hAnsi="Times New Roman" w:eastAsia="方正小标宋_GBK" w:cs="Times New Roman"/>
              <w:kern w:val="2"/>
              <w:sz w:val="24"/>
              <w:szCs w:val="24"/>
              <w:lang w:val="en-US" w:eastAsia="zh-CN" w:bidi="ar-SA"/>
            </w:rPr>
            <w:instrText xml:space="preserve"> HYPERLINK \l _Toc8863 </w:instrText>
          </w:r>
          <w:r>
            <w:rPr>
              <w:rFonts w:hint="eastAsia" w:ascii="Times New Roman" w:hAnsi="Times New Roman" w:eastAsia="方正小标宋_GBK" w:cs="Times New Roman"/>
              <w:kern w:val="2"/>
              <w:sz w:val="24"/>
              <w:szCs w:val="24"/>
              <w:lang w:val="en-US" w:eastAsia="zh-CN" w:bidi="ar-SA"/>
            </w:rPr>
            <w:fldChar w:fldCharType="separate"/>
          </w:r>
          <w:r>
            <w:rPr>
              <w:rFonts w:hint="eastAsia" w:ascii="Times New Roman" w:hAnsi="Times New Roman" w:eastAsia="方正小标宋_GBK" w:cs="Times New Roman"/>
              <w:kern w:val="2"/>
              <w:sz w:val="24"/>
              <w:szCs w:val="24"/>
              <w:highlight w:val="none"/>
              <w:lang w:val="en-US" w:eastAsia="zh-CN" w:bidi="ar-SA"/>
            </w:rPr>
            <w:t>第十四章强化保障支撑，奋力实现规划蓝图</w:t>
          </w:r>
          <w:r>
            <w:rPr>
              <w:sz w:val="24"/>
              <w:szCs w:val="24"/>
            </w:rPr>
            <w:tab/>
          </w:r>
          <w:r>
            <w:rPr>
              <w:sz w:val="24"/>
              <w:szCs w:val="24"/>
            </w:rPr>
            <w:fldChar w:fldCharType="begin"/>
          </w:r>
          <w:r>
            <w:rPr>
              <w:sz w:val="24"/>
              <w:szCs w:val="24"/>
            </w:rPr>
            <w:instrText xml:space="preserve"> PAGEREF _Toc8863 \h </w:instrText>
          </w:r>
          <w:r>
            <w:rPr>
              <w:sz w:val="24"/>
              <w:szCs w:val="24"/>
            </w:rPr>
            <w:fldChar w:fldCharType="separate"/>
          </w:r>
          <w:r>
            <w:rPr>
              <w:sz w:val="24"/>
              <w:szCs w:val="24"/>
            </w:rPr>
            <w:t>- 132 -</w:t>
          </w:r>
          <w:r>
            <w:rPr>
              <w:sz w:val="24"/>
              <w:szCs w:val="24"/>
            </w:rPr>
            <w:fldChar w:fldCharType="end"/>
          </w:r>
          <w:r>
            <w:rPr>
              <w:rFonts w:hint="eastAsia" w:ascii="Times New Roman" w:hAnsi="Times New Roman" w:eastAsia="方正小标宋_GBK" w:cs="Times New Roman"/>
              <w:color w:val="auto"/>
              <w:kern w:val="2"/>
              <w:sz w:val="24"/>
              <w:szCs w:val="24"/>
              <w:u w:val="none"/>
              <w:lang w:val="en-US" w:eastAsia="zh-CN" w:bidi="ar-SA"/>
            </w:rPr>
            <w:fldChar w:fldCharType="end"/>
          </w:r>
        </w:p>
        <w:p w14:paraId="6B01C0E5">
          <w:pPr>
            <w:pStyle w:val="11"/>
            <w:tabs>
              <w:tab w:val="right" w:leader="dot" w:pos="9026"/>
            </w:tabs>
            <w:spacing w:line="360" w:lineRule="auto"/>
            <w:rPr>
              <w:sz w:val="24"/>
              <w:szCs w:val="24"/>
            </w:rPr>
          </w:pPr>
          <w:r>
            <w:rPr>
              <w:rFonts w:hint="eastAsia" w:ascii="Times New Roman" w:hAnsi="Times New Roman" w:eastAsia="方正小标宋_GBK" w:cs="Times New Roman"/>
              <w:color w:val="auto"/>
              <w:kern w:val="2"/>
              <w:sz w:val="24"/>
              <w:szCs w:val="24"/>
              <w:u w:val="none"/>
              <w:lang w:val="en-US" w:eastAsia="zh-CN" w:bidi="ar-SA"/>
            </w:rPr>
            <w:fldChar w:fldCharType="begin"/>
          </w:r>
          <w:r>
            <w:rPr>
              <w:rFonts w:hint="eastAsia" w:ascii="Times New Roman" w:hAnsi="Times New Roman" w:eastAsia="方正小标宋_GBK" w:cs="Times New Roman"/>
              <w:kern w:val="2"/>
              <w:sz w:val="24"/>
              <w:szCs w:val="24"/>
              <w:lang w:val="en-US" w:eastAsia="zh-CN" w:bidi="ar-SA"/>
            </w:rPr>
            <w:instrText xml:space="preserve"> HYPERLINK \l _Toc479 </w:instrText>
          </w:r>
          <w:r>
            <w:rPr>
              <w:rFonts w:hint="eastAsia" w:ascii="Times New Roman" w:hAnsi="Times New Roman" w:eastAsia="方正小标宋_GBK" w:cs="Times New Roman"/>
              <w:kern w:val="2"/>
              <w:sz w:val="24"/>
              <w:szCs w:val="24"/>
              <w:lang w:val="en-US" w:eastAsia="zh-CN" w:bidi="ar-SA"/>
            </w:rPr>
            <w:fldChar w:fldCharType="separate"/>
          </w:r>
          <w:r>
            <w:rPr>
              <w:rFonts w:hint="eastAsia" w:ascii="Times New Roman" w:hAnsi="Times New Roman" w:eastAsia="黑体" w:cs="Times New Roman"/>
              <w:bCs/>
              <w:kern w:val="2"/>
              <w:sz w:val="24"/>
              <w:szCs w:val="24"/>
              <w:highlight w:val="none"/>
              <w:lang w:val="en-US" w:eastAsia="zh-CN" w:bidi="ar-SA"/>
            </w:rPr>
            <w:t>第一节坚持和加强党的全面领导</w:t>
          </w:r>
          <w:r>
            <w:rPr>
              <w:sz w:val="24"/>
              <w:szCs w:val="24"/>
            </w:rPr>
            <w:tab/>
          </w:r>
          <w:r>
            <w:rPr>
              <w:sz w:val="24"/>
              <w:szCs w:val="24"/>
            </w:rPr>
            <w:fldChar w:fldCharType="begin"/>
          </w:r>
          <w:r>
            <w:rPr>
              <w:sz w:val="24"/>
              <w:szCs w:val="24"/>
            </w:rPr>
            <w:instrText xml:space="preserve"> PAGEREF _Toc479 \h </w:instrText>
          </w:r>
          <w:r>
            <w:rPr>
              <w:sz w:val="24"/>
              <w:szCs w:val="24"/>
            </w:rPr>
            <w:fldChar w:fldCharType="separate"/>
          </w:r>
          <w:r>
            <w:rPr>
              <w:sz w:val="24"/>
              <w:szCs w:val="24"/>
            </w:rPr>
            <w:t>- 132 -</w:t>
          </w:r>
          <w:r>
            <w:rPr>
              <w:sz w:val="24"/>
              <w:szCs w:val="24"/>
            </w:rPr>
            <w:fldChar w:fldCharType="end"/>
          </w:r>
          <w:r>
            <w:rPr>
              <w:rFonts w:hint="eastAsia" w:ascii="Times New Roman" w:hAnsi="Times New Roman" w:eastAsia="方正小标宋_GBK" w:cs="Times New Roman"/>
              <w:color w:val="auto"/>
              <w:kern w:val="2"/>
              <w:sz w:val="24"/>
              <w:szCs w:val="24"/>
              <w:u w:val="none"/>
              <w:lang w:val="en-US" w:eastAsia="zh-CN" w:bidi="ar-SA"/>
            </w:rPr>
            <w:fldChar w:fldCharType="end"/>
          </w:r>
        </w:p>
        <w:p w14:paraId="6133D949">
          <w:pPr>
            <w:pStyle w:val="11"/>
            <w:tabs>
              <w:tab w:val="right" w:leader="dot" w:pos="9026"/>
            </w:tabs>
            <w:spacing w:line="360" w:lineRule="auto"/>
            <w:rPr>
              <w:sz w:val="24"/>
              <w:szCs w:val="24"/>
            </w:rPr>
          </w:pPr>
          <w:r>
            <w:rPr>
              <w:rFonts w:hint="eastAsia" w:ascii="Times New Roman" w:hAnsi="Times New Roman" w:eastAsia="方正小标宋_GBK" w:cs="Times New Roman"/>
              <w:color w:val="auto"/>
              <w:kern w:val="2"/>
              <w:sz w:val="24"/>
              <w:szCs w:val="24"/>
              <w:u w:val="none"/>
              <w:lang w:val="en-US" w:eastAsia="zh-CN" w:bidi="ar-SA"/>
            </w:rPr>
            <w:fldChar w:fldCharType="begin"/>
          </w:r>
          <w:r>
            <w:rPr>
              <w:rFonts w:hint="eastAsia" w:ascii="Times New Roman" w:hAnsi="Times New Roman" w:eastAsia="方正小标宋_GBK" w:cs="Times New Roman"/>
              <w:kern w:val="2"/>
              <w:sz w:val="24"/>
              <w:szCs w:val="24"/>
              <w:lang w:val="en-US" w:eastAsia="zh-CN" w:bidi="ar-SA"/>
            </w:rPr>
            <w:instrText xml:space="preserve"> HYPERLINK \l _Toc24102 </w:instrText>
          </w:r>
          <w:r>
            <w:rPr>
              <w:rFonts w:hint="eastAsia" w:ascii="Times New Roman" w:hAnsi="Times New Roman" w:eastAsia="方正小标宋_GBK" w:cs="Times New Roman"/>
              <w:kern w:val="2"/>
              <w:sz w:val="24"/>
              <w:szCs w:val="24"/>
              <w:lang w:val="en-US" w:eastAsia="zh-CN" w:bidi="ar-SA"/>
            </w:rPr>
            <w:fldChar w:fldCharType="separate"/>
          </w:r>
          <w:r>
            <w:rPr>
              <w:rFonts w:hint="eastAsia" w:ascii="Times New Roman" w:hAnsi="Times New Roman" w:eastAsia="黑体" w:cs="Times New Roman"/>
              <w:bCs/>
              <w:kern w:val="2"/>
              <w:sz w:val="24"/>
              <w:szCs w:val="24"/>
              <w:highlight w:val="none"/>
              <w:lang w:val="en-US" w:eastAsia="zh-CN" w:bidi="ar-SA"/>
            </w:rPr>
            <w:t>第二节完善规划落实机制</w:t>
          </w:r>
          <w:r>
            <w:rPr>
              <w:sz w:val="24"/>
              <w:szCs w:val="24"/>
            </w:rPr>
            <w:tab/>
          </w:r>
          <w:r>
            <w:rPr>
              <w:sz w:val="24"/>
              <w:szCs w:val="24"/>
            </w:rPr>
            <w:fldChar w:fldCharType="begin"/>
          </w:r>
          <w:r>
            <w:rPr>
              <w:sz w:val="24"/>
              <w:szCs w:val="24"/>
            </w:rPr>
            <w:instrText xml:space="preserve"> PAGEREF _Toc24102 \h </w:instrText>
          </w:r>
          <w:r>
            <w:rPr>
              <w:sz w:val="24"/>
              <w:szCs w:val="24"/>
            </w:rPr>
            <w:fldChar w:fldCharType="separate"/>
          </w:r>
          <w:r>
            <w:rPr>
              <w:sz w:val="24"/>
              <w:szCs w:val="24"/>
            </w:rPr>
            <w:t>- 132 -</w:t>
          </w:r>
          <w:r>
            <w:rPr>
              <w:sz w:val="24"/>
              <w:szCs w:val="24"/>
            </w:rPr>
            <w:fldChar w:fldCharType="end"/>
          </w:r>
          <w:r>
            <w:rPr>
              <w:rFonts w:hint="eastAsia" w:ascii="Times New Roman" w:hAnsi="Times New Roman" w:eastAsia="方正小标宋_GBK" w:cs="Times New Roman"/>
              <w:color w:val="auto"/>
              <w:kern w:val="2"/>
              <w:sz w:val="24"/>
              <w:szCs w:val="24"/>
              <w:u w:val="none"/>
              <w:lang w:val="en-US" w:eastAsia="zh-CN" w:bidi="ar-SA"/>
            </w:rPr>
            <w:fldChar w:fldCharType="end"/>
          </w:r>
        </w:p>
        <w:p w14:paraId="51D8C6EA">
          <w:pPr>
            <w:pStyle w:val="11"/>
            <w:tabs>
              <w:tab w:val="right" w:leader="dot" w:pos="9026"/>
            </w:tabs>
            <w:spacing w:line="360" w:lineRule="auto"/>
            <w:rPr>
              <w:sz w:val="24"/>
              <w:szCs w:val="24"/>
            </w:rPr>
          </w:pPr>
          <w:r>
            <w:rPr>
              <w:rFonts w:hint="eastAsia" w:ascii="Times New Roman" w:hAnsi="Times New Roman" w:eastAsia="方正小标宋_GBK" w:cs="Times New Roman"/>
              <w:color w:val="auto"/>
              <w:kern w:val="2"/>
              <w:sz w:val="24"/>
              <w:szCs w:val="24"/>
              <w:u w:val="none"/>
              <w:lang w:val="en-US" w:eastAsia="zh-CN" w:bidi="ar-SA"/>
            </w:rPr>
            <w:fldChar w:fldCharType="begin"/>
          </w:r>
          <w:r>
            <w:rPr>
              <w:rFonts w:hint="eastAsia" w:ascii="Times New Roman" w:hAnsi="Times New Roman" w:eastAsia="方正小标宋_GBK" w:cs="Times New Roman"/>
              <w:kern w:val="2"/>
              <w:sz w:val="24"/>
              <w:szCs w:val="24"/>
              <w:lang w:val="en-US" w:eastAsia="zh-CN" w:bidi="ar-SA"/>
            </w:rPr>
            <w:instrText xml:space="preserve"> HYPERLINK \l _Toc32176 </w:instrText>
          </w:r>
          <w:r>
            <w:rPr>
              <w:rFonts w:hint="eastAsia" w:ascii="Times New Roman" w:hAnsi="Times New Roman" w:eastAsia="方正小标宋_GBK" w:cs="Times New Roman"/>
              <w:kern w:val="2"/>
              <w:sz w:val="24"/>
              <w:szCs w:val="24"/>
              <w:lang w:val="en-US" w:eastAsia="zh-CN" w:bidi="ar-SA"/>
            </w:rPr>
            <w:fldChar w:fldCharType="separate"/>
          </w:r>
          <w:r>
            <w:rPr>
              <w:rFonts w:hint="eastAsia" w:ascii="Times New Roman" w:hAnsi="Times New Roman" w:eastAsia="黑体" w:cs="Times New Roman"/>
              <w:bCs/>
              <w:kern w:val="2"/>
              <w:sz w:val="24"/>
              <w:szCs w:val="24"/>
              <w:highlight w:val="none"/>
              <w:lang w:val="en-US" w:eastAsia="zh-CN" w:bidi="ar-SA"/>
            </w:rPr>
            <w:t>第三节强化发展要素保障</w:t>
          </w:r>
          <w:r>
            <w:rPr>
              <w:sz w:val="24"/>
              <w:szCs w:val="24"/>
            </w:rPr>
            <w:tab/>
          </w:r>
          <w:r>
            <w:rPr>
              <w:sz w:val="24"/>
              <w:szCs w:val="24"/>
            </w:rPr>
            <w:fldChar w:fldCharType="begin"/>
          </w:r>
          <w:r>
            <w:rPr>
              <w:sz w:val="24"/>
              <w:szCs w:val="24"/>
            </w:rPr>
            <w:instrText xml:space="preserve"> PAGEREF _Toc32176 \h </w:instrText>
          </w:r>
          <w:r>
            <w:rPr>
              <w:sz w:val="24"/>
              <w:szCs w:val="24"/>
            </w:rPr>
            <w:fldChar w:fldCharType="separate"/>
          </w:r>
          <w:r>
            <w:rPr>
              <w:sz w:val="24"/>
              <w:szCs w:val="24"/>
            </w:rPr>
            <w:t>- 133 -</w:t>
          </w:r>
          <w:r>
            <w:rPr>
              <w:sz w:val="24"/>
              <w:szCs w:val="24"/>
            </w:rPr>
            <w:fldChar w:fldCharType="end"/>
          </w:r>
          <w:r>
            <w:rPr>
              <w:rFonts w:hint="eastAsia" w:ascii="Times New Roman" w:hAnsi="Times New Roman" w:eastAsia="方正小标宋_GBK" w:cs="Times New Roman"/>
              <w:color w:val="auto"/>
              <w:kern w:val="2"/>
              <w:sz w:val="24"/>
              <w:szCs w:val="24"/>
              <w:u w:val="none"/>
              <w:lang w:val="en-US" w:eastAsia="zh-CN" w:bidi="ar-SA"/>
            </w:rPr>
            <w:fldChar w:fldCharType="end"/>
          </w:r>
        </w:p>
        <w:p w14:paraId="394B005D">
          <w:pPr>
            <w:pStyle w:val="11"/>
            <w:tabs>
              <w:tab w:val="right" w:leader="dot" w:pos="9026"/>
            </w:tabs>
            <w:spacing w:line="360" w:lineRule="auto"/>
            <w:rPr>
              <w:sz w:val="24"/>
              <w:szCs w:val="24"/>
            </w:rPr>
          </w:pPr>
          <w:r>
            <w:rPr>
              <w:rFonts w:hint="eastAsia" w:ascii="Times New Roman" w:hAnsi="Times New Roman" w:eastAsia="方正小标宋_GBK" w:cs="Times New Roman"/>
              <w:color w:val="auto"/>
              <w:kern w:val="2"/>
              <w:sz w:val="24"/>
              <w:szCs w:val="24"/>
              <w:u w:val="none"/>
              <w:lang w:val="en-US" w:eastAsia="zh-CN" w:bidi="ar-SA"/>
            </w:rPr>
            <w:fldChar w:fldCharType="begin"/>
          </w:r>
          <w:r>
            <w:rPr>
              <w:rFonts w:hint="eastAsia" w:ascii="Times New Roman" w:hAnsi="Times New Roman" w:eastAsia="方正小标宋_GBK" w:cs="Times New Roman"/>
              <w:kern w:val="2"/>
              <w:sz w:val="24"/>
              <w:szCs w:val="24"/>
              <w:lang w:val="en-US" w:eastAsia="zh-CN" w:bidi="ar-SA"/>
            </w:rPr>
            <w:instrText xml:space="preserve"> HYPERLINK \l _Toc23206 </w:instrText>
          </w:r>
          <w:r>
            <w:rPr>
              <w:rFonts w:hint="eastAsia" w:ascii="Times New Roman" w:hAnsi="Times New Roman" w:eastAsia="方正小标宋_GBK" w:cs="Times New Roman"/>
              <w:kern w:val="2"/>
              <w:sz w:val="24"/>
              <w:szCs w:val="24"/>
              <w:lang w:val="en-US" w:eastAsia="zh-CN" w:bidi="ar-SA"/>
            </w:rPr>
            <w:fldChar w:fldCharType="separate"/>
          </w:r>
          <w:r>
            <w:rPr>
              <w:rFonts w:hint="eastAsia" w:ascii="Times New Roman" w:hAnsi="Times New Roman" w:eastAsia="黑体" w:cs="Times New Roman"/>
              <w:bCs/>
              <w:kern w:val="2"/>
              <w:sz w:val="24"/>
              <w:szCs w:val="24"/>
              <w:highlight w:val="none"/>
              <w:lang w:val="en-US" w:eastAsia="zh-CN" w:bidi="ar-SA"/>
            </w:rPr>
            <w:t>第四节突出重点项目带动</w:t>
          </w:r>
          <w:r>
            <w:rPr>
              <w:sz w:val="24"/>
              <w:szCs w:val="24"/>
            </w:rPr>
            <w:tab/>
          </w:r>
          <w:r>
            <w:rPr>
              <w:sz w:val="24"/>
              <w:szCs w:val="24"/>
            </w:rPr>
            <w:fldChar w:fldCharType="begin"/>
          </w:r>
          <w:r>
            <w:rPr>
              <w:sz w:val="24"/>
              <w:szCs w:val="24"/>
            </w:rPr>
            <w:instrText xml:space="preserve"> PAGEREF _Toc23206 \h </w:instrText>
          </w:r>
          <w:r>
            <w:rPr>
              <w:sz w:val="24"/>
              <w:szCs w:val="24"/>
            </w:rPr>
            <w:fldChar w:fldCharType="separate"/>
          </w:r>
          <w:r>
            <w:rPr>
              <w:sz w:val="24"/>
              <w:szCs w:val="24"/>
            </w:rPr>
            <w:t>- 134 -</w:t>
          </w:r>
          <w:r>
            <w:rPr>
              <w:sz w:val="24"/>
              <w:szCs w:val="24"/>
            </w:rPr>
            <w:fldChar w:fldCharType="end"/>
          </w:r>
          <w:r>
            <w:rPr>
              <w:rFonts w:hint="eastAsia" w:ascii="Times New Roman" w:hAnsi="Times New Roman" w:eastAsia="方正小标宋_GBK" w:cs="Times New Roman"/>
              <w:color w:val="auto"/>
              <w:kern w:val="2"/>
              <w:sz w:val="24"/>
              <w:szCs w:val="24"/>
              <w:u w:val="none"/>
              <w:lang w:val="en-US" w:eastAsia="zh-CN" w:bidi="ar-SA"/>
            </w:rPr>
            <w:fldChar w:fldCharType="end"/>
          </w:r>
        </w:p>
        <w:p w14:paraId="2E81D61E">
          <w:pPr>
            <w:pStyle w:val="11"/>
            <w:tabs>
              <w:tab w:val="right" w:leader="dot" w:pos="9026"/>
            </w:tabs>
            <w:spacing w:line="360" w:lineRule="auto"/>
          </w:pPr>
          <w:r>
            <w:rPr>
              <w:rFonts w:hint="eastAsia" w:ascii="Times New Roman" w:hAnsi="Times New Roman" w:eastAsia="方正小标宋_GBK" w:cs="Times New Roman"/>
              <w:color w:val="auto"/>
              <w:kern w:val="2"/>
              <w:sz w:val="24"/>
              <w:szCs w:val="24"/>
              <w:u w:val="none"/>
              <w:lang w:val="en-US" w:eastAsia="zh-CN" w:bidi="ar-SA"/>
            </w:rPr>
            <w:fldChar w:fldCharType="begin"/>
          </w:r>
          <w:r>
            <w:rPr>
              <w:rFonts w:hint="eastAsia" w:ascii="Times New Roman" w:hAnsi="Times New Roman" w:eastAsia="方正小标宋_GBK" w:cs="Times New Roman"/>
              <w:kern w:val="2"/>
              <w:sz w:val="24"/>
              <w:szCs w:val="24"/>
              <w:lang w:val="en-US" w:eastAsia="zh-CN" w:bidi="ar-SA"/>
            </w:rPr>
            <w:instrText xml:space="preserve"> HYPERLINK \l _Toc18164 </w:instrText>
          </w:r>
          <w:r>
            <w:rPr>
              <w:rFonts w:hint="eastAsia" w:ascii="Times New Roman" w:hAnsi="Times New Roman" w:eastAsia="方正小标宋_GBK" w:cs="Times New Roman"/>
              <w:kern w:val="2"/>
              <w:sz w:val="24"/>
              <w:szCs w:val="24"/>
              <w:lang w:val="en-US" w:eastAsia="zh-CN" w:bidi="ar-SA"/>
            </w:rPr>
            <w:fldChar w:fldCharType="separate"/>
          </w:r>
          <w:r>
            <w:rPr>
              <w:rFonts w:hint="default" w:ascii="Times New Roman" w:hAnsi="Times New Roman" w:eastAsia="黑体" w:cs="Times New Roman"/>
              <w:bCs/>
              <w:kern w:val="2"/>
              <w:sz w:val="24"/>
              <w:szCs w:val="24"/>
              <w:highlight w:val="none"/>
              <w:lang w:val="en-US" w:eastAsia="zh-CN" w:bidi="ar-SA"/>
            </w:rPr>
            <w:t>第</w:t>
          </w:r>
          <w:r>
            <w:rPr>
              <w:rFonts w:hint="eastAsia" w:ascii="Times New Roman" w:hAnsi="Times New Roman" w:eastAsia="黑体" w:cs="Times New Roman"/>
              <w:bCs/>
              <w:kern w:val="2"/>
              <w:sz w:val="24"/>
              <w:szCs w:val="24"/>
              <w:highlight w:val="none"/>
              <w:lang w:val="en-US" w:eastAsia="zh-CN" w:bidi="ar-SA"/>
            </w:rPr>
            <w:t>五</w:t>
          </w:r>
          <w:r>
            <w:rPr>
              <w:rFonts w:hint="default" w:ascii="Times New Roman" w:hAnsi="Times New Roman" w:eastAsia="黑体" w:cs="Times New Roman"/>
              <w:bCs/>
              <w:kern w:val="2"/>
              <w:sz w:val="24"/>
              <w:szCs w:val="24"/>
              <w:highlight w:val="none"/>
              <w:lang w:val="en-US" w:eastAsia="zh-CN" w:bidi="ar-SA"/>
            </w:rPr>
            <w:t>节</w:t>
          </w:r>
          <w:r>
            <w:rPr>
              <w:rFonts w:hint="eastAsia" w:ascii="Times New Roman" w:hAnsi="Times New Roman" w:eastAsia="黑体" w:cs="Times New Roman"/>
              <w:bCs/>
              <w:kern w:val="2"/>
              <w:sz w:val="24"/>
              <w:szCs w:val="24"/>
              <w:highlight w:val="none"/>
              <w:lang w:val="en-US" w:eastAsia="zh-CN" w:bidi="ar-SA"/>
            </w:rPr>
            <w:t>汇聚社会力量共建共享</w:t>
          </w:r>
          <w:r>
            <w:rPr>
              <w:sz w:val="24"/>
              <w:szCs w:val="24"/>
            </w:rPr>
            <w:tab/>
          </w:r>
          <w:r>
            <w:rPr>
              <w:sz w:val="24"/>
              <w:szCs w:val="24"/>
            </w:rPr>
            <w:fldChar w:fldCharType="begin"/>
          </w:r>
          <w:r>
            <w:rPr>
              <w:sz w:val="24"/>
              <w:szCs w:val="24"/>
            </w:rPr>
            <w:instrText xml:space="preserve"> PAGEREF _Toc18164 \h </w:instrText>
          </w:r>
          <w:r>
            <w:rPr>
              <w:sz w:val="24"/>
              <w:szCs w:val="24"/>
            </w:rPr>
            <w:fldChar w:fldCharType="separate"/>
          </w:r>
          <w:r>
            <w:rPr>
              <w:sz w:val="24"/>
              <w:szCs w:val="24"/>
            </w:rPr>
            <w:t>- 134 -</w:t>
          </w:r>
          <w:r>
            <w:rPr>
              <w:sz w:val="24"/>
              <w:szCs w:val="24"/>
            </w:rPr>
            <w:fldChar w:fldCharType="end"/>
          </w:r>
          <w:r>
            <w:rPr>
              <w:rFonts w:hint="eastAsia" w:ascii="Times New Roman" w:hAnsi="Times New Roman" w:eastAsia="方正小标宋_GBK" w:cs="Times New Roman"/>
              <w:color w:val="auto"/>
              <w:kern w:val="2"/>
              <w:sz w:val="24"/>
              <w:szCs w:val="24"/>
              <w:u w:val="none"/>
              <w:lang w:val="en-US" w:eastAsia="zh-CN" w:bidi="ar-SA"/>
            </w:rPr>
            <w:fldChar w:fldCharType="end"/>
          </w:r>
        </w:p>
        <w:p w14:paraId="10AFC81D">
          <w:pPr>
            <w:keepNext w:val="0"/>
            <w:keepLines w:val="0"/>
            <w:pageBreakBefore w:val="0"/>
            <w:widowControl w:val="0"/>
            <w:kinsoku/>
            <w:wordWrap/>
            <w:overflowPunct/>
            <w:topLinePunct w:val="0"/>
            <w:autoSpaceDE/>
            <w:autoSpaceDN/>
            <w:bidi w:val="0"/>
            <w:adjustRightInd/>
            <w:snapToGrid w:val="0"/>
            <w:spacing w:before="313" w:beforeLines="100" w:line="360" w:lineRule="auto"/>
            <w:jc w:val="center"/>
            <w:textAlignment w:val="auto"/>
            <w:outlineLvl w:val="9"/>
            <w:rPr>
              <w:rFonts w:hint="eastAsia" w:ascii="Times New Roman" w:hAnsi="Times New Roman" w:eastAsia="方正小标宋_GBK" w:cs="Times New Roman"/>
              <w:color w:val="auto"/>
              <w:kern w:val="2"/>
              <w:sz w:val="21"/>
              <w:szCs w:val="36"/>
              <w:u w:val="none"/>
              <w:lang w:val="en-US" w:eastAsia="zh-CN" w:bidi="ar-SA"/>
            </w:rPr>
          </w:pPr>
          <w:r>
            <w:rPr>
              <w:rFonts w:hint="eastAsia" w:ascii="Times New Roman" w:hAnsi="Times New Roman" w:eastAsia="方正小标宋_GBK" w:cs="Times New Roman"/>
              <w:color w:val="auto"/>
              <w:kern w:val="2"/>
              <w:szCs w:val="24"/>
              <w:u w:val="none"/>
              <w:lang w:val="en-US" w:eastAsia="zh-CN" w:bidi="ar-SA"/>
            </w:rPr>
            <w:fldChar w:fldCharType="end"/>
          </w:r>
        </w:p>
      </w:sdtContent>
    </w:sdt>
    <w:p w14:paraId="5D2BFD58">
      <w:pPr>
        <w:keepNext w:val="0"/>
        <w:keepLines w:val="0"/>
        <w:pageBreakBefore w:val="0"/>
        <w:widowControl w:val="0"/>
        <w:kinsoku/>
        <w:wordWrap/>
        <w:overflowPunct/>
        <w:topLinePunct w:val="0"/>
        <w:autoSpaceDE/>
        <w:autoSpaceDN/>
        <w:bidi w:val="0"/>
        <w:adjustRightInd/>
        <w:snapToGrid/>
        <w:textAlignment w:val="auto"/>
        <w:outlineLvl w:val="9"/>
        <w:rPr>
          <w:rFonts w:hint="eastAsia"/>
          <w:lang w:val="en-US" w:eastAsia="zh-CN"/>
        </w:rPr>
      </w:pPr>
    </w:p>
    <w:p w14:paraId="6FF394F3">
      <w:pPr>
        <w:keepNext w:val="0"/>
        <w:keepLines w:val="0"/>
        <w:pageBreakBefore w:val="0"/>
        <w:widowControl w:val="0"/>
        <w:kinsoku/>
        <w:wordWrap/>
        <w:overflowPunct/>
        <w:topLinePunct w:val="0"/>
        <w:autoSpaceDE/>
        <w:autoSpaceDN/>
        <w:bidi w:val="0"/>
        <w:adjustRightInd w:val="0"/>
        <w:snapToGrid w:val="0"/>
        <w:spacing w:line="560" w:lineRule="exact"/>
        <w:jc w:val="both"/>
        <w:textAlignment w:val="auto"/>
        <w:rPr>
          <w:rFonts w:hint="eastAsia" w:ascii="方正小标宋_GBK" w:hAnsi="方正小标宋_GBK" w:eastAsia="方正小标宋_GBK" w:cs="方正小标宋_GBK"/>
          <w:color w:val="auto"/>
          <w:spacing w:val="0"/>
          <w:kern w:val="0"/>
          <w:sz w:val="44"/>
          <w:szCs w:val="48"/>
          <w:highlight w:val="none"/>
          <w:u w:val="none"/>
          <w:lang w:val="en-US" w:eastAsia="zh-CN"/>
        </w:rPr>
        <w:sectPr>
          <w:pgSz w:w="11906" w:h="16838"/>
          <w:pgMar w:top="1440" w:right="1440" w:bottom="1440" w:left="1440" w:header="708" w:footer="708" w:gutter="0"/>
          <w:pgNumType w:fmt="numberInDash" w:start="1"/>
          <w:cols w:space="720" w:num="1"/>
          <w:docGrid w:linePitch="360" w:charSpace="0"/>
        </w:sectPr>
      </w:pPr>
    </w:p>
    <w:p w14:paraId="181A4F9F">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方正小标宋_GBK" w:hAnsi="方正小标宋_GBK" w:eastAsia="方正小标宋_GBK" w:cs="方正小标宋_GBK"/>
          <w:color w:val="auto"/>
          <w:spacing w:val="0"/>
          <w:kern w:val="0"/>
          <w:sz w:val="44"/>
          <w:szCs w:val="48"/>
          <w:highlight w:val="none"/>
          <w:u w:val="none"/>
        </w:rPr>
      </w:pPr>
      <w:r>
        <w:rPr>
          <w:rFonts w:hint="eastAsia" w:ascii="方正小标宋_GBK" w:hAnsi="方正小标宋_GBK" w:eastAsia="方正小标宋_GBK" w:cs="方正小标宋_GBK"/>
          <w:color w:val="auto"/>
          <w:spacing w:val="0"/>
          <w:kern w:val="0"/>
          <w:sz w:val="44"/>
          <w:szCs w:val="48"/>
          <w:highlight w:val="none"/>
          <w:u w:val="none"/>
          <w:lang w:val="en-US" w:eastAsia="zh-CN"/>
        </w:rPr>
        <w:t>扶沟县</w:t>
      </w:r>
      <w:r>
        <w:rPr>
          <w:rFonts w:hint="eastAsia" w:ascii="方正小标宋_GBK" w:hAnsi="方正小标宋_GBK" w:eastAsia="方正小标宋_GBK" w:cs="方正小标宋_GBK"/>
          <w:color w:val="auto"/>
          <w:spacing w:val="0"/>
          <w:kern w:val="0"/>
          <w:sz w:val="44"/>
          <w:szCs w:val="48"/>
          <w:highlight w:val="none"/>
          <w:u w:val="none"/>
        </w:rPr>
        <w:t>国民经济和社会发展第十五个</w:t>
      </w:r>
    </w:p>
    <w:p w14:paraId="3FFE3F5C">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lang w:val="en-US" w:eastAsia="zh-CN"/>
        </w:rPr>
      </w:pPr>
      <w:r>
        <w:rPr>
          <w:rFonts w:hint="eastAsia" w:ascii="方正小标宋_GBK" w:hAnsi="方正小标宋_GBK" w:eastAsia="方正小标宋_GBK" w:cs="方正小标宋_GBK"/>
          <w:color w:val="auto"/>
          <w:spacing w:val="0"/>
          <w:kern w:val="0"/>
          <w:sz w:val="44"/>
          <w:szCs w:val="48"/>
          <w:highlight w:val="none"/>
          <w:u w:val="none"/>
        </w:rPr>
        <w:t>五年规划纲要</w:t>
      </w:r>
    </w:p>
    <w:p w14:paraId="4605A0A2">
      <w:pPr>
        <w:keepNext w:val="0"/>
        <w:keepLines w:val="0"/>
        <w:pageBreakBefore w:val="0"/>
        <w:widowControl w:val="0"/>
        <w:kinsoku/>
        <w:wordWrap/>
        <w:overflowPunct/>
        <w:topLinePunct w:val="0"/>
        <w:autoSpaceDE/>
        <w:autoSpaceDN/>
        <w:bidi w:val="0"/>
        <w:adjustRightInd/>
        <w:snapToGrid w:val="0"/>
        <w:spacing w:before="313" w:beforeLines="100" w:after="361" w:afterLines="100" w:line="560" w:lineRule="exact"/>
        <w:jc w:val="center"/>
        <w:textAlignment w:val="auto"/>
        <w:outlineLvl w:val="0"/>
        <w:rPr>
          <w:rFonts w:hint="eastAsia" w:ascii="Times New Roman" w:hAnsi="Times New Roman" w:eastAsia="方正小标宋_GBK" w:cs="Times New Roman"/>
          <w:b/>
          <w:color w:val="auto"/>
          <w:kern w:val="2"/>
          <w:sz w:val="44"/>
          <w:szCs w:val="44"/>
          <w:u w:val="none"/>
          <w:lang w:val="en-US" w:eastAsia="zh-CN" w:bidi="ar-SA"/>
        </w:rPr>
      </w:pPr>
      <w:bookmarkStart w:id="0" w:name="_Toc4887"/>
      <w:r>
        <w:rPr>
          <w:rFonts w:hint="eastAsia" w:ascii="Times New Roman" w:hAnsi="Times New Roman" w:eastAsia="方正小标宋_GBK" w:cs="Times New Roman"/>
          <w:b/>
          <w:color w:val="auto"/>
          <w:kern w:val="2"/>
          <w:sz w:val="40"/>
          <w:szCs w:val="40"/>
          <w:u w:val="none"/>
          <w:lang w:val="en-US" w:eastAsia="zh-CN" w:bidi="ar-SA"/>
        </w:rPr>
        <w:t>序言</w:t>
      </w:r>
      <w:bookmarkEnd w:id="0"/>
    </w:p>
    <w:p w14:paraId="7C7D7910">
      <w:pPr>
        <w:pageBreakBefore w:val="0"/>
        <w:kinsoku/>
        <w:wordWrap/>
        <w:overflowPunct/>
        <w:topLinePunct w:val="0"/>
        <w:autoSpaceDE/>
        <w:bidi w:val="0"/>
        <w:adjustRightInd w:val="0"/>
        <w:snapToGrid w:val="0"/>
        <w:spacing w:line="560" w:lineRule="exact"/>
        <w:ind w:firstLine="640" w:firstLineChars="200"/>
        <w:textAlignment w:val="auto"/>
        <w:rPr>
          <w:rFonts w:hint="eastAsia" w:ascii="仿宋_GB2312" w:hAnsi="仿宋_GB2312" w:eastAsia="仿宋_GB2312" w:cs="仿宋_GB2312"/>
          <w:color w:val="auto"/>
          <w:kern w:val="2"/>
          <w:sz w:val="32"/>
          <w:szCs w:val="21"/>
          <w:u w:val="none"/>
          <w:lang w:val="en-US" w:eastAsia="zh-CN" w:bidi="ar-SA"/>
        </w:rPr>
      </w:pPr>
      <w:r>
        <w:rPr>
          <w:rFonts w:hint="eastAsia" w:ascii="仿宋_GB2312" w:hAnsi="仿宋_GB2312" w:eastAsia="仿宋_GB2312" w:cs="仿宋_GB2312"/>
          <w:color w:val="auto"/>
          <w:kern w:val="2"/>
          <w:sz w:val="32"/>
          <w:szCs w:val="21"/>
          <w:u w:val="none"/>
          <w:lang w:val="en-US" w:eastAsia="zh-CN" w:bidi="ar-SA"/>
        </w:rPr>
        <w:t>“十五五”时期（2026—2030年）是我国开启全面建设社会主义现代化国家新征程、向第二个百年奋斗目标进军的第二个五年，也是扶沟县深度融入河南省“1+2+4+N”目标任务体系，贯彻市委“16232”总体工作思路，落实周口国家区域中心港口城市现代化建设部署，推动县域高质量发展实现新跨越的黄金五年。扶沟县以习近平新时代中国特色社会主义思想为指导，完整准确全面贯彻新发展理念，深入践行中央决策部署及省委、市委工作要求，紧抓构建新发展格局战略机遇，科学编制并有效实施“十五五”规划，对巩固社会主义现代化阶段性目标达成基础、加快全县迈向现代化新征程，建设中国式现代化美好扶沟，具有重大而深远的意义。</w:t>
      </w:r>
    </w:p>
    <w:p w14:paraId="264F7F55">
      <w:pPr>
        <w:pStyle w:val="2"/>
        <w:bidi w:val="0"/>
        <w:jc w:val="center"/>
        <w:rPr>
          <w:rFonts w:hint="default" w:ascii="Times New Roman" w:hAnsi="Times New Roman" w:eastAsia="方正小标宋_GBK" w:cs="Times New Roman"/>
          <w:b/>
          <w:color w:val="auto"/>
          <w:kern w:val="2"/>
          <w:sz w:val="36"/>
          <w:szCs w:val="36"/>
          <w:highlight w:val="none"/>
          <w:u w:val="none"/>
          <w:lang w:val="en-US" w:eastAsia="zh-CN" w:bidi="ar-SA"/>
        </w:rPr>
      </w:pPr>
      <w:bookmarkStart w:id="1" w:name="_Toc31594"/>
      <w:bookmarkStart w:id="2" w:name="_Toc13946"/>
      <w:bookmarkStart w:id="3" w:name="_Toc25665"/>
      <w:bookmarkStart w:id="4" w:name="_Toc25489"/>
      <w:r>
        <w:rPr>
          <w:rFonts w:hint="eastAsia" w:ascii="Times New Roman" w:hAnsi="Times New Roman" w:eastAsia="方正小标宋_GBK" w:cs="Times New Roman"/>
          <w:b/>
          <w:color w:val="auto"/>
          <w:kern w:val="2"/>
          <w:sz w:val="44"/>
          <w:szCs w:val="44"/>
          <w:highlight w:val="none"/>
        </w:rPr>
        <w:t>第一篇：回顾“十四五”——总结实践</w:t>
      </w:r>
      <w:bookmarkEnd w:id="1"/>
      <w:r>
        <w:rPr>
          <w:rFonts w:hint="eastAsia" w:ascii="Times New Roman" w:hAnsi="Times New Roman" w:eastAsia="方正小标宋_GBK" w:cs="Times New Roman"/>
          <w:b/>
          <w:color w:val="auto"/>
          <w:kern w:val="2"/>
          <w:sz w:val="44"/>
          <w:szCs w:val="44"/>
          <w:highlight w:val="none"/>
          <w:lang w:val="en-US" w:eastAsia="zh-CN"/>
        </w:rPr>
        <w:t>求经验</w:t>
      </w:r>
      <w:bookmarkEnd w:id="2"/>
      <w:bookmarkEnd w:id="3"/>
      <w:bookmarkEnd w:id="4"/>
    </w:p>
    <w:p w14:paraId="687C9093">
      <w:pPr>
        <w:keepNext/>
        <w:keepLines/>
        <w:pageBreakBefore w:val="0"/>
        <w:widowControl w:val="0"/>
        <w:numPr>
          <w:ilvl w:val="0"/>
          <w:numId w:val="0"/>
        </w:numPr>
        <w:kinsoku/>
        <w:wordWrap/>
        <w:overflowPunct/>
        <w:topLinePunct w:val="0"/>
        <w:autoSpaceDE/>
        <w:autoSpaceDN/>
        <w:bidi w:val="0"/>
        <w:adjustRightInd w:val="0"/>
        <w:snapToGrid w:val="0"/>
        <w:spacing w:before="541" w:beforeLines="150" w:after="439" w:afterLines="100" w:line="560" w:lineRule="exact"/>
        <w:ind w:leftChars="0"/>
        <w:jc w:val="center"/>
        <w:textAlignment w:val="auto"/>
        <w:outlineLvl w:val="1"/>
        <w:rPr>
          <w:rFonts w:hint="eastAsia" w:ascii="仿宋_GB2312" w:hAnsi="仿宋_GB2312" w:eastAsia="仿宋_GB2312" w:cs="仿宋_GB2312"/>
          <w:color w:val="auto"/>
          <w:kern w:val="2"/>
          <w:sz w:val="32"/>
          <w:szCs w:val="21"/>
          <w:u w:val="none"/>
          <w:lang w:val="en-US" w:eastAsia="zh-CN" w:bidi="ar-SA"/>
        </w:rPr>
      </w:pPr>
      <w:bookmarkStart w:id="5" w:name="_Toc34"/>
      <w:bookmarkStart w:id="6" w:name="_Toc32052"/>
      <w:bookmarkStart w:id="7" w:name="_Toc28017"/>
      <w:r>
        <w:rPr>
          <w:rFonts w:hint="eastAsia" w:ascii="Times New Roman" w:hAnsi="Times New Roman" w:eastAsia="方正小标宋_GBK" w:cs="Times New Roman"/>
          <w:b/>
          <w:color w:val="auto"/>
          <w:kern w:val="2"/>
          <w:sz w:val="36"/>
          <w:szCs w:val="36"/>
          <w:highlight w:val="none"/>
          <w:u w:val="none"/>
          <w:lang w:val="en-US" w:eastAsia="zh-CN" w:bidi="ar-SA"/>
        </w:rPr>
        <w:t>第一章平稳起步，迈向现代化建设新征程</w:t>
      </w:r>
      <w:bookmarkEnd w:id="5"/>
      <w:bookmarkEnd w:id="6"/>
      <w:bookmarkEnd w:id="7"/>
    </w:p>
    <w:p w14:paraId="5D73C5C2">
      <w:pPr>
        <w:keepNext/>
        <w:keepLines/>
        <w:pageBreakBefore w:val="0"/>
        <w:widowControl w:val="0"/>
        <w:numPr>
          <w:ilvl w:val="0"/>
          <w:numId w:val="0"/>
        </w:numPr>
        <w:kinsoku/>
        <w:wordWrap/>
        <w:overflowPunct/>
        <w:topLinePunct w:val="0"/>
        <w:autoSpaceDE/>
        <w:autoSpaceDN/>
        <w:bidi w:val="0"/>
        <w:adjustRightInd w:val="0"/>
        <w:snapToGrid w:val="0"/>
        <w:spacing w:before="156" w:beforeLines="50" w:after="156" w:afterLines="50" w:line="560" w:lineRule="exact"/>
        <w:ind w:leftChars="0"/>
        <w:jc w:val="center"/>
        <w:textAlignment w:val="auto"/>
        <w:outlineLvl w:val="2"/>
        <w:rPr>
          <w:rFonts w:hint="eastAsia" w:ascii="仿宋_GB2312" w:hAnsi="仿宋_GB2312" w:eastAsia="仿宋_GB2312" w:cs="仿宋_GB2312"/>
          <w:color w:val="auto"/>
          <w:kern w:val="2"/>
          <w:sz w:val="32"/>
          <w:szCs w:val="21"/>
          <w:u w:val="none"/>
          <w:lang w:val="en-US" w:eastAsia="zh-CN" w:bidi="ar-SA"/>
        </w:rPr>
      </w:pPr>
      <w:bookmarkStart w:id="8" w:name="_Toc20897"/>
      <w:bookmarkStart w:id="9" w:name="_Toc31682"/>
      <w:bookmarkStart w:id="10" w:name="_Toc29118"/>
      <w:r>
        <w:rPr>
          <w:rFonts w:hint="eastAsia" w:ascii="Times New Roman" w:hAnsi="Times New Roman" w:eastAsia="黑体" w:cs="Times New Roman"/>
          <w:b/>
          <w:bCs/>
          <w:color w:val="auto"/>
          <w:kern w:val="2"/>
          <w:sz w:val="32"/>
          <w:szCs w:val="32"/>
          <w:highlight w:val="none"/>
          <w:u w:val="none"/>
          <w:lang w:val="en-US" w:eastAsia="zh-CN" w:bidi="ar-SA"/>
        </w:rPr>
        <w:t>第一节“十四五”发展成就</w:t>
      </w:r>
      <w:bookmarkEnd w:id="8"/>
      <w:bookmarkEnd w:id="9"/>
      <w:bookmarkEnd w:id="10"/>
    </w:p>
    <w:p w14:paraId="5A9D4613">
      <w:pPr>
        <w:pageBreakBefore w:val="0"/>
        <w:kinsoku/>
        <w:wordWrap/>
        <w:overflowPunct/>
        <w:topLinePunct w:val="0"/>
        <w:autoSpaceDE/>
        <w:bidi w:val="0"/>
        <w:adjustRightInd w:val="0"/>
        <w:snapToGrid w:val="0"/>
        <w:spacing w:line="560" w:lineRule="exact"/>
        <w:ind w:firstLine="640" w:firstLineChars="200"/>
        <w:textAlignment w:val="auto"/>
        <w:rPr>
          <w:rFonts w:hint="eastAsia" w:ascii="仿宋_GB2312" w:hAnsi="仿宋_GB2312" w:eastAsia="仿宋_GB2312" w:cs="仿宋_GB2312"/>
          <w:color w:val="auto"/>
          <w:kern w:val="2"/>
          <w:sz w:val="32"/>
          <w:szCs w:val="21"/>
          <w:u w:val="none"/>
          <w:lang w:val="en-US" w:eastAsia="zh-CN" w:bidi="ar-SA"/>
        </w:rPr>
      </w:pPr>
      <w:r>
        <w:rPr>
          <w:rFonts w:hint="eastAsia" w:ascii="仿宋_GB2312" w:hAnsi="仿宋_GB2312" w:eastAsia="仿宋_GB2312" w:cs="仿宋_GB2312"/>
          <w:color w:val="auto"/>
          <w:kern w:val="2"/>
          <w:sz w:val="32"/>
          <w:szCs w:val="21"/>
          <w:u w:val="none"/>
          <w:lang w:val="en-US" w:eastAsia="zh-CN" w:bidi="ar-SA"/>
        </w:rPr>
        <w:t>“十四五”时期是扶沟发展进程中极不平凡、极具挑战的五年。面对错综复杂的国内外环境和灾情、疫情叠加的严峻形势，以及持续加大的经济下行压力，全县上下在县委、县政府的坚强领导下，坚持以习近平新时代中国特色社会主义思想为指导，全面贯彻党的十九大、二十大和二十届历次全会精神，深入贯彻落实国家、河南省、周口市各项工作要求，立足新发展阶段，完整、准确、全面贯彻新发展理念，积极融入新发展格局，坚持稳中求进工作总基调，统筹疫情防控和经济社会发展，扎实做好“六稳”工作，全面落实“六保”任务，经济社会发展保持稳中向好，为“十五五”时期实现跨越发展、全面建设现代化美好扶沟新征程奠定了坚实基础。</w:t>
      </w:r>
    </w:p>
    <w:p w14:paraId="55F7F024">
      <w:pPr>
        <w:pageBreakBefore w:val="0"/>
        <w:kinsoku/>
        <w:wordWrap/>
        <w:overflowPunct/>
        <w:topLinePunct w:val="0"/>
        <w:autoSpaceDE/>
        <w:bidi w:val="0"/>
        <w:adjustRightInd w:val="0"/>
        <w:snapToGrid w:val="0"/>
        <w:spacing w:line="560" w:lineRule="exact"/>
        <w:ind w:firstLine="643" w:firstLineChars="200"/>
        <w:textAlignment w:val="auto"/>
        <w:rPr>
          <w:rFonts w:hint="eastAsia" w:ascii="仿宋_GB2312" w:hAnsi="仿宋_GB2312" w:eastAsia="仿宋_GB2312" w:cs="仿宋_GB2312"/>
          <w:color w:val="auto"/>
          <w:kern w:val="2"/>
          <w:sz w:val="32"/>
          <w:szCs w:val="21"/>
          <w:u w:val="none"/>
          <w:lang w:val="en-US" w:eastAsia="zh-CN" w:bidi="ar-SA"/>
        </w:rPr>
      </w:pPr>
      <w:r>
        <w:rPr>
          <w:rFonts w:hint="eastAsia" w:ascii="楷体_GB2312" w:hAnsi="楷体_GB2312" w:eastAsia="楷体_GB2312" w:cs="楷体_GB2312"/>
          <w:b/>
          <w:bCs/>
          <w:color w:val="auto"/>
          <w:kern w:val="2"/>
          <w:sz w:val="32"/>
          <w:szCs w:val="32"/>
          <w:u w:val="none"/>
          <w:lang w:val="en-US" w:eastAsia="zh-CN" w:bidi="ar-SA"/>
        </w:rPr>
        <w:t>经济运行稳中有进，铸就发展实力攀升之基。</w:t>
      </w:r>
      <w:r>
        <w:rPr>
          <w:rFonts w:hint="eastAsia" w:ascii="仿宋_GB2312" w:hAnsi="仿宋_GB2312" w:eastAsia="仿宋_GB2312" w:cs="仿宋_GB2312"/>
          <w:color w:val="auto"/>
          <w:kern w:val="2"/>
          <w:sz w:val="32"/>
          <w:szCs w:val="21"/>
          <w:u w:val="none"/>
          <w:lang w:val="en-US" w:eastAsia="zh-CN" w:bidi="ar-SA"/>
        </w:rPr>
        <w:t>“十四五”时期，扶沟县经济运行呈现“稳中有进、质效双升”的良好态势，核心指标表现亮眼。全县地区生产总值（GDP）</w:t>
      </w:r>
      <w:r>
        <w:rPr>
          <w:rFonts w:hint="default" w:ascii="仿宋_GB2312" w:hAnsi="仿宋_GB2312" w:eastAsia="仿宋_GB2312" w:cs="仿宋_GB2312"/>
          <w:color w:val="auto"/>
          <w:kern w:val="2"/>
          <w:sz w:val="32"/>
          <w:szCs w:val="21"/>
          <w:u w:val="none"/>
          <w:lang w:val="en-US" w:eastAsia="zh-CN" w:bidi="ar-SA"/>
        </w:rPr>
        <w:t>年均增速</w:t>
      </w:r>
      <w:r>
        <w:rPr>
          <w:rFonts w:hint="eastAsia" w:ascii="仿宋_GB2312" w:hAnsi="仿宋_GB2312" w:eastAsia="仿宋_GB2312" w:cs="仿宋_GB2312"/>
          <w:color w:val="auto"/>
          <w:kern w:val="2"/>
          <w:sz w:val="32"/>
          <w:szCs w:val="21"/>
          <w:u w:val="none"/>
          <w:lang w:val="en-US" w:eastAsia="zh-CN" w:bidi="ar-SA"/>
        </w:rPr>
        <w:t>6.6</w:t>
      </w:r>
      <w:r>
        <w:rPr>
          <w:rFonts w:hint="default" w:ascii="仿宋_GB2312" w:hAnsi="仿宋_GB2312" w:eastAsia="仿宋_GB2312" w:cs="仿宋_GB2312"/>
          <w:color w:val="auto"/>
          <w:kern w:val="2"/>
          <w:sz w:val="32"/>
          <w:szCs w:val="21"/>
          <w:u w:val="none"/>
          <w:lang w:val="en-US" w:eastAsia="zh-CN" w:bidi="ar-SA"/>
        </w:rPr>
        <w:t>%，其中202</w:t>
      </w:r>
      <w:r>
        <w:rPr>
          <w:rFonts w:hint="eastAsia" w:ascii="仿宋_GB2312" w:hAnsi="仿宋_GB2312" w:eastAsia="仿宋_GB2312" w:cs="仿宋_GB2312"/>
          <w:color w:val="auto"/>
          <w:kern w:val="2"/>
          <w:sz w:val="32"/>
          <w:szCs w:val="21"/>
          <w:u w:val="none"/>
          <w:lang w:val="en-US" w:eastAsia="zh-CN" w:bidi="ar-SA"/>
        </w:rPr>
        <w:t>5</w:t>
      </w:r>
      <w:r>
        <w:rPr>
          <w:rFonts w:hint="default" w:ascii="仿宋_GB2312" w:hAnsi="仿宋_GB2312" w:eastAsia="仿宋_GB2312" w:cs="仿宋_GB2312"/>
          <w:color w:val="auto"/>
          <w:kern w:val="2"/>
          <w:sz w:val="32"/>
          <w:szCs w:val="21"/>
          <w:u w:val="none"/>
          <w:lang w:val="en-US" w:eastAsia="zh-CN" w:bidi="ar-SA"/>
        </w:rPr>
        <w:t>年完成288.7亿元，较上年增加18.4亿元，同比增长6.8%，分别高于省、市1.2和0.7个百分点，增速居全市第二位，经济增长的稳定性和引领性凸显</w:t>
      </w:r>
      <w:r>
        <w:rPr>
          <w:rFonts w:hint="eastAsia" w:ascii="仿宋_GB2312" w:hAnsi="仿宋_GB2312" w:eastAsia="仿宋_GB2312" w:cs="仿宋_GB2312"/>
          <w:color w:val="auto"/>
          <w:kern w:val="2"/>
          <w:sz w:val="32"/>
          <w:szCs w:val="21"/>
          <w:u w:val="none"/>
          <w:lang w:val="en-US" w:eastAsia="zh-CN" w:bidi="ar-SA"/>
        </w:rPr>
        <w:t>。</w:t>
      </w:r>
      <w:r>
        <w:rPr>
          <w:rFonts w:hint="default" w:ascii="仿宋_GB2312" w:hAnsi="仿宋_GB2312" w:eastAsia="仿宋_GB2312" w:cs="仿宋_GB2312"/>
          <w:b/>
          <w:bCs/>
          <w:color w:val="auto"/>
          <w:kern w:val="2"/>
          <w:sz w:val="32"/>
          <w:szCs w:val="21"/>
          <w:u w:val="none"/>
          <w:lang w:val="en-US" w:eastAsia="zh-CN" w:bidi="ar-SA"/>
        </w:rPr>
        <w:t>工业支撑作用凸显</w:t>
      </w:r>
      <w:r>
        <w:rPr>
          <w:rFonts w:hint="eastAsia" w:ascii="仿宋_GB2312" w:hAnsi="仿宋_GB2312" w:eastAsia="仿宋_GB2312" w:cs="仿宋_GB2312"/>
          <w:b/>
          <w:bCs/>
          <w:color w:val="auto"/>
          <w:kern w:val="2"/>
          <w:sz w:val="32"/>
          <w:szCs w:val="21"/>
          <w:u w:val="none"/>
          <w:lang w:val="en-US" w:eastAsia="zh-CN" w:bidi="ar-SA"/>
        </w:rPr>
        <w:t>，</w:t>
      </w:r>
      <w:r>
        <w:rPr>
          <w:rFonts w:hint="default" w:ascii="仿宋_GB2312" w:hAnsi="仿宋_GB2312" w:eastAsia="仿宋_GB2312" w:cs="仿宋_GB2312"/>
          <w:color w:val="auto"/>
          <w:kern w:val="2"/>
          <w:sz w:val="32"/>
          <w:szCs w:val="21"/>
          <w:u w:val="none"/>
          <w:lang w:val="en-US" w:eastAsia="zh-CN" w:bidi="ar-SA"/>
        </w:rPr>
        <w:t>202</w:t>
      </w:r>
      <w:r>
        <w:rPr>
          <w:rFonts w:hint="eastAsia" w:ascii="仿宋_GB2312" w:hAnsi="仿宋_GB2312" w:eastAsia="仿宋_GB2312" w:cs="仿宋_GB2312"/>
          <w:color w:val="auto"/>
          <w:kern w:val="2"/>
          <w:sz w:val="32"/>
          <w:szCs w:val="21"/>
          <w:u w:val="none"/>
          <w:lang w:val="en-US" w:eastAsia="zh-CN" w:bidi="ar-SA"/>
        </w:rPr>
        <w:t>5</w:t>
      </w:r>
      <w:r>
        <w:rPr>
          <w:rFonts w:hint="default" w:ascii="仿宋_GB2312" w:hAnsi="仿宋_GB2312" w:eastAsia="仿宋_GB2312" w:cs="仿宋_GB2312"/>
          <w:color w:val="auto"/>
          <w:kern w:val="2"/>
          <w:sz w:val="32"/>
          <w:szCs w:val="21"/>
          <w:u w:val="none"/>
          <w:lang w:val="en-US" w:eastAsia="zh-CN" w:bidi="ar-SA"/>
        </w:rPr>
        <w:t>年全县规模以上工业增加值同比增长10.6%，分别高出省、市2.2和3.0个百分点，规模以下工业增加值同比增长5.9%</w:t>
      </w:r>
      <w:r>
        <w:rPr>
          <w:rFonts w:hint="eastAsia" w:ascii="仿宋_GB2312" w:hAnsi="仿宋_GB2312" w:eastAsia="仿宋_GB2312" w:cs="仿宋_GB2312"/>
          <w:color w:val="auto"/>
          <w:kern w:val="2"/>
          <w:sz w:val="32"/>
          <w:szCs w:val="21"/>
          <w:u w:val="none"/>
          <w:lang w:val="en-US" w:eastAsia="zh-CN" w:bidi="ar-SA"/>
        </w:rPr>
        <w:t>，增速均</w:t>
      </w:r>
      <w:r>
        <w:rPr>
          <w:rFonts w:hint="default" w:ascii="仿宋_GB2312" w:hAnsi="仿宋_GB2312" w:eastAsia="仿宋_GB2312" w:cs="仿宋_GB2312"/>
          <w:color w:val="auto"/>
          <w:kern w:val="2"/>
          <w:sz w:val="32"/>
          <w:szCs w:val="21"/>
          <w:u w:val="none"/>
          <w:lang w:val="en-US" w:eastAsia="zh-CN" w:bidi="ar-SA"/>
        </w:rPr>
        <w:t>位居全市前列</w:t>
      </w:r>
      <w:r>
        <w:rPr>
          <w:rFonts w:hint="eastAsia" w:ascii="仿宋_GB2312" w:hAnsi="仿宋_GB2312" w:eastAsia="仿宋_GB2312" w:cs="仿宋_GB2312"/>
          <w:color w:val="auto"/>
          <w:kern w:val="2"/>
          <w:sz w:val="32"/>
          <w:szCs w:val="21"/>
          <w:u w:val="none"/>
          <w:lang w:val="en-US" w:eastAsia="zh-CN" w:bidi="ar-SA"/>
        </w:rPr>
        <w:t>；高新技术企业拉动明显，同比增长14.4%；纺织服装、装备制造两大主导产业同比增长63.3%；工业用电量累计完成4.0亿千瓦时，同比增长11.3%，居全市第二位，为经济增长注入强劲动力。</w:t>
      </w:r>
      <w:r>
        <w:rPr>
          <w:rFonts w:hint="eastAsia" w:ascii="仿宋_GB2312" w:hAnsi="仿宋_GB2312" w:eastAsia="仿宋_GB2312" w:cs="仿宋_GB2312"/>
          <w:b/>
          <w:bCs/>
          <w:color w:val="auto"/>
          <w:kern w:val="2"/>
          <w:sz w:val="32"/>
          <w:szCs w:val="21"/>
          <w:u w:val="none"/>
          <w:lang w:val="en-US" w:eastAsia="zh-CN" w:bidi="ar-SA"/>
        </w:rPr>
        <w:t>投资消费协同发力，内需潜力有效释放。</w:t>
      </w:r>
      <w:r>
        <w:rPr>
          <w:rFonts w:hint="eastAsia" w:ascii="仿宋_GB2312" w:hAnsi="仿宋_GB2312" w:eastAsia="仿宋_GB2312" w:cs="仿宋_GB2312"/>
          <w:color w:val="auto"/>
          <w:kern w:val="2"/>
          <w:sz w:val="32"/>
          <w:szCs w:val="21"/>
          <w:u w:val="none"/>
          <w:lang w:val="en-US" w:eastAsia="zh-CN" w:bidi="ar-SA"/>
        </w:rPr>
        <w:t>500万元以上固定资产投资年均增长超10%，社会消费品零售总额年均增长6%以上，2025年全县一般公共预算收入完成15.48亿元，较2020年增长48%，其中，税收收入完成9.32亿元，同比增长10.4%，税收收入占一般公共预算收入比重为60.2%，为民生保障和产业发展提供坚实财力支撑。</w:t>
      </w:r>
    </w:p>
    <w:p w14:paraId="463A9A42">
      <w:pPr>
        <w:pageBreakBefore w:val="0"/>
        <w:kinsoku/>
        <w:wordWrap/>
        <w:overflowPunct/>
        <w:topLinePunct w:val="0"/>
        <w:autoSpaceDE/>
        <w:bidi w:val="0"/>
        <w:adjustRightInd w:val="0"/>
        <w:snapToGrid w:val="0"/>
        <w:spacing w:line="560" w:lineRule="exact"/>
        <w:ind w:firstLine="643" w:firstLineChars="200"/>
        <w:textAlignment w:val="auto"/>
        <w:rPr>
          <w:rFonts w:hint="default" w:ascii="仿宋_GB2312" w:hAnsi="仿宋_GB2312" w:eastAsia="仿宋_GB2312" w:cs="仿宋_GB2312"/>
          <w:color w:val="auto"/>
          <w:kern w:val="2"/>
          <w:sz w:val="32"/>
          <w:szCs w:val="21"/>
          <w:u w:val="none"/>
          <w:lang w:val="en-US" w:eastAsia="zh-CN" w:bidi="ar-SA"/>
        </w:rPr>
      </w:pPr>
      <w:r>
        <w:rPr>
          <w:rFonts w:hint="eastAsia" w:ascii="楷体_GB2312" w:hAnsi="楷体_GB2312" w:eastAsia="楷体_GB2312" w:cs="楷体_GB2312"/>
          <w:b/>
          <w:bCs/>
          <w:color w:val="auto"/>
          <w:kern w:val="2"/>
          <w:sz w:val="32"/>
          <w:szCs w:val="32"/>
          <w:u w:val="none"/>
          <w:lang w:val="en-US" w:eastAsia="zh-CN" w:bidi="ar-SA"/>
        </w:rPr>
        <w:t>项目建设支撑有力，夯实长远发展坚固底盘。</w:t>
      </w:r>
      <w:r>
        <w:rPr>
          <w:rFonts w:hint="eastAsia" w:ascii="仿宋_GB2312" w:hAnsi="仿宋_GB2312" w:eastAsia="仿宋_GB2312" w:cs="仿宋_GB2312"/>
          <w:b w:val="0"/>
          <w:bCs w:val="0"/>
          <w:color w:val="auto"/>
          <w:kern w:val="2"/>
          <w:sz w:val="32"/>
          <w:szCs w:val="21"/>
          <w:u w:val="none"/>
          <w:lang w:val="en-US" w:eastAsia="zh-CN" w:bidi="ar-SA"/>
        </w:rPr>
        <w:t>“十四五”时期，扶沟县坚持“项目为王”理念，以重大项目建设为抓手，强化要素保障，优化服务流程，项目建设呈现“签约多、开工快、投产实”的良好态势，为经济社会发展提供了坚实支撑。</w:t>
      </w:r>
      <w:r>
        <w:rPr>
          <w:rFonts w:hint="eastAsia" w:ascii="仿宋_GB2312" w:hAnsi="仿宋_GB2312" w:eastAsia="仿宋_GB2312" w:cs="仿宋_GB2312"/>
          <w:b/>
          <w:bCs/>
          <w:color w:val="auto"/>
          <w:kern w:val="2"/>
          <w:sz w:val="32"/>
          <w:szCs w:val="21"/>
          <w:u w:val="none"/>
          <w:lang w:val="en-US" w:eastAsia="zh-CN" w:bidi="ar-SA"/>
        </w:rPr>
        <w:t>招商引资成效显著，重大项目落地突破。</w:t>
      </w:r>
      <w:r>
        <w:rPr>
          <w:rFonts w:hint="eastAsia" w:ascii="仿宋_GB2312" w:hAnsi="仿宋_GB2312" w:eastAsia="仿宋_GB2312" w:cs="仿宋_GB2312"/>
          <w:b w:val="0"/>
          <w:bCs w:val="0"/>
          <w:color w:val="auto"/>
          <w:kern w:val="2"/>
          <w:sz w:val="32"/>
          <w:szCs w:val="21"/>
          <w:u w:val="none"/>
          <w:lang w:val="en-US" w:eastAsia="zh-CN" w:bidi="ar-SA"/>
        </w:rPr>
        <w:t>累计签约京东智慧物流港等项目125个，总投资超800亿元，引进世界500强企业实现历史性突破，为产业升级和动能转换注入新活力。项目推进机制健全高效，累计滚动实施“三个一批”项目154个，履约率、开工率、投产率均为100%；实施省市重点项目112个、“五个清单”项目78个等，争取各类政策资金超20亿元，项目建设的质量和效率同步提升。</w:t>
      </w:r>
      <w:r>
        <w:rPr>
          <w:rFonts w:hint="eastAsia" w:ascii="仿宋_GB2312" w:hAnsi="仿宋_GB2312" w:eastAsia="仿宋_GB2312" w:cs="仿宋_GB2312"/>
          <w:b/>
          <w:bCs/>
          <w:color w:val="auto"/>
          <w:kern w:val="2"/>
          <w:sz w:val="32"/>
          <w:szCs w:val="21"/>
          <w:u w:val="none"/>
          <w:lang w:val="en-US" w:eastAsia="zh-CN" w:bidi="ar-SA"/>
        </w:rPr>
        <w:t>要素保障精准有力，服务水平持续优化。</w:t>
      </w:r>
      <w:r>
        <w:rPr>
          <w:rFonts w:hint="eastAsia" w:ascii="仿宋_GB2312" w:hAnsi="仿宋_GB2312" w:eastAsia="仿宋_GB2312" w:cs="仿宋_GB2312"/>
          <w:b w:val="0"/>
          <w:bCs w:val="0"/>
          <w:color w:val="auto"/>
          <w:kern w:val="2"/>
          <w:sz w:val="32"/>
          <w:szCs w:val="21"/>
          <w:u w:val="none"/>
          <w:lang w:val="en-US" w:eastAsia="zh-CN" w:bidi="ar-SA"/>
        </w:rPr>
        <w:t>全县上下形成“一盘棋”推进项目建设的浓厚氛围，在土地、资金、人才等要素保障上优先倾斜，推动项目快落地、快建设、快投产。建立项目包保责任制，实行“一站式”服务、“并联式”审批，破解项目建设中的难点堵点问题，确保项目建设顺利推进。一批重大产业项目、基础设施项目、民生保障项目的建成投用，不仅拉动了当期投资增长，更夯实了长远发展的基础，为“十五五”时期的跨越发展积蓄了强大势能</w:t>
      </w:r>
      <w:r>
        <w:rPr>
          <w:rFonts w:hint="eastAsia" w:ascii="仿宋_GB2312" w:hAnsi="仿宋_GB2312" w:eastAsia="仿宋_GB2312" w:cs="仿宋_GB2312"/>
          <w:color w:val="auto"/>
          <w:kern w:val="2"/>
          <w:sz w:val="32"/>
          <w:szCs w:val="21"/>
          <w:u w:val="none"/>
          <w:lang w:val="en-US" w:eastAsia="zh-CN" w:bidi="ar-SA"/>
        </w:rPr>
        <w:t>。</w:t>
      </w:r>
    </w:p>
    <w:p w14:paraId="799A2B3C">
      <w:pPr>
        <w:pageBreakBefore w:val="0"/>
        <w:kinsoku/>
        <w:wordWrap/>
        <w:overflowPunct/>
        <w:topLinePunct w:val="0"/>
        <w:autoSpaceDE/>
        <w:bidi w:val="0"/>
        <w:adjustRightInd w:val="0"/>
        <w:snapToGrid w:val="0"/>
        <w:spacing w:line="560" w:lineRule="exact"/>
        <w:ind w:firstLine="643" w:firstLineChars="200"/>
        <w:textAlignment w:val="auto"/>
        <w:rPr>
          <w:rFonts w:hint="eastAsia" w:ascii="楷体_GB2312" w:hAnsi="楷体_GB2312" w:eastAsia="楷体_GB2312" w:cs="楷体_GB2312"/>
          <w:b/>
          <w:bCs/>
          <w:color w:val="auto"/>
          <w:kern w:val="2"/>
          <w:sz w:val="32"/>
          <w:szCs w:val="32"/>
          <w:u w:val="none"/>
          <w:lang w:val="en-US" w:eastAsia="zh-CN" w:bidi="ar-SA"/>
        </w:rPr>
      </w:pPr>
      <w:r>
        <w:rPr>
          <w:rFonts w:hint="eastAsia" w:ascii="楷体_GB2312" w:hAnsi="楷体_GB2312" w:eastAsia="楷体_GB2312" w:cs="楷体_GB2312"/>
          <w:b/>
          <w:bCs/>
          <w:color w:val="auto"/>
          <w:kern w:val="2"/>
          <w:sz w:val="32"/>
          <w:szCs w:val="32"/>
          <w:u w:val="none"/>
          <w:lang w:val="en-US" w:eastAsia="zh-CN" w:bidi="ar-SA"/>
        </w:rPr>
        <w:t>蔬菜经济蓬勃发展，铺就乡村振兴纵深之路。</w:t>
      </w:r>
      <w:r>
        <w:rPr>
          <w:rFonts w:hint="eastAsia" w:ascii="仿宋_GB2312" w:hAnsi="仿宋_GB2312" w:eastAsia="仿宋_GB2312" w:cs="仿宋_GB2312"/>
          <w:color w:val="auto"/>
          <w:kern w:val="2"/>
          <w:sz w:val="32"/>
          <w:szCs w:val="21"/>
          <w:u w:val="none"/>
          <w:lang w:val="en-US" w:eastAsia="zh-CN" w:bidi="ar-SA"/>
        </w:rPr>
        <w:t>“十四五”时期，扶沟县以“全生态蔬菜之都”为核心，通过“规模扩张-品质提升-品牌赋能-链条延伸”四步路径，实现蔬菜产业从传统种植向现代化农业集群跨越，成为乡村振兴的核心支撑。蔬菜年播种面积稳定在52万亩以上，产值突破46.8亿元，带动12.36万农户就业，蔬菜收入占农民人均纯收入比重达37%，成为农民增收的“主渠道”。</w:t>
      </w:r>
      <w:r>
        <w:rPr>
          <w:rFonts w:hint="eastAsia" w:ascii="仿宋_GB2312" w:hAnsi="仿宋_GB2312" w:eastAsia="仿宋_GB2312" w:cs="仿宋_GB2312"/>
          <w:b/>
          <w:bCs/>
          <w:color w:val="auto"/>
          <w:kern w:val="2"/>
          <w:sz w:val="32"/>
          <w:szCs w:val="21"/>
          <w:u w:val="none"/>
          <w:lang w:val="en-US" w:eastAsia="zh-CN" w:bidi="ar-SA"/>
        </w:rPr>
        <w:t>规模扩张成效显著，产业载体不断完善。</w:t>
      </w:r>
      <w:r>
        <w:rPr>
          <w:rFonts w:hint="eastAsia" w:ascii="仿宋_GB2312" w:hAnsi="仿宋_GB2312" w:eastAsia="仿宋_GB2312" w:cs="仿宋_GB2312"/>
          <w:color w:val="auto"/>
          <w:kern w:val="2"/>
          <w:sz w:val="32"/>
          <w:szCs w:val="21"/>
          <w:u w:val="none"/>
          <w:lang w:val="en-US" w:eastAsia="zh-CN" w:bidi="ar-SA"/>
        </w:rPr>
        <w:t>成功创建全省唯一以蔬菜为主导的省级现代农业产业园，培育7个市级蔬菜产业园、17个县级蔬菜产业园，累计新增设施蔬菜面积超2万亩，改造提升老旧设施蔬菜园区3000亩，形成多层次、全覆盖的产业园区体系。品质提升多措并举，科技赋能贯穿全程。与河南农业大学合作建立扶沟蔬菜研究院，累计研发“酸甜果”番茄、“金富175”辣椒等新品种40余个；与省农科院合作研发“韭仙子”“韭王子”等太空韭菜品种3个；推广无土栽培、水肥一体化等新技术12项，制定《扶沟县蔬菜绿色生产技术规程》17项，建成县、乡、村三级农产品安全检测体系，成功创建河南省农产品质量安全县。</w:t>
      </w:r>
      <w:r>
        <w:rPr>
          <w:rFonts w:hint="eastAsia" w:ascii="仿宋_GB2312" w:hAnsi="仿宋_GB2312" w:eastAsia="仿宋_GB2312" w:cs="仿宋_GB2312"/>
          <w:b/>
          <w:bCs/>
          <w:color w:val="auto"/>
          <w:kern w:val="2"/>
          <w:sz w:val="32"/>
          <w:szCs w:val="21"/>
          <w:u w:val="none"/>
          <w:lang w:val="en-US" w:eastAsia="zh-CN" w:bidi="ar-SA"/>
        </w:rPr>
        <w:t>品牌影响力持续扩大，市场竞争力不断增强。</w:t>
      </w:r>
      <w:r>
        <w:rPr>
          <w:rFonts w:hint="eastAsia" w:ascii="仿宋_GB2312" w:hAnsi="仿宋_GB2312" w:eastAsia="仿宋_GB2312" w:cs="仿宋_GB2312"/>
          <w:color w:val="auto"/>
          <w:kern w:val="2"/>
          <w:sz w:val="32"/>
          <w:szCs w:val="21"/>
          <w:u w:val="none"/>
          <w:lang w:val="en-US" w:eastAsia="zh-CN" w:bidi="ar-SA"/>
        </w:rPr>
        <w:t>扶沟蔬菜产业拥有“三品一标”58个、国家地理标志产品2个、国家级名优特新农产品5个，“豫农优品”5个，“南北绿韭”“天御红”被评为全国蔬菜十佳畅销品牌，吕潭乡西兰花核心产区跻身全国西兰花产业地图。产业链条不断延伸，融合发展态势良好。建成京东物流（扶沟）智慧物流港、扶沟国际农贸城、“中食央厨”净菜加工基地、蔬菜精深加工产业园等载体，产品销往北京新发地、郑州万邦等20余个大型市场，实现种植、加工、物流、销售全链条协同发展。</w:t>
      </w:r>
    </w:p>
    <w:p w14:paraId="5B4A4092">
      <w:pPr>
        <w:pageBreakBefore w:val="0"/>
        <w:kinsoku/>
        <w:wordWrap/>
        <w:overflowPunct/>
        <w:topLinePunct w:val="0"/>
        <w:autoSpaceDE/>
        <w:bidi w:val="0"/>
        <w:adjustRightInd w:val="0"/>
        <w:snapToGrid w:val="0"/>
        <w:spacing w:line="560" w:lineRule="exact"/>
        <w:ind w:firstLine="643" w:firstLineChars="200"/>
        <w:textAlignment w:val="auto"/>
        <w:rPr>
          <w:rFonts w:hint="eastAsia" w:ascii="楷体_GB2312" w:hAnsi="楷体_GB2312" w:eastAsia="楷体_GB2312" w:cs="楷体_GB2312"/>
          <w:b/>
          <w:bCs/>
          <w:color w:val="auto"/>
          <w:kern w:val="2"/>
          <w:sz w:val="32"/>
          <w:szCs w:val="32"/>
          <w:u w:val="none"/>
          <w:lang w:val="en-US" w:eastAsia="zh-CN" w:bidi="ar-SA"/>
        </w:rPr>
      </w:pPr>
      <w:r>
        <w:rPr>
          <w:rFonts w:hint="eastAsia" w:ascii="楷体_GB2312" w:hAnsi="楷体_GB2312" w:eastAsia="楷体_GB2312" w:cs="楷体_GB2312"/>
          <w:b/>
          <w:bCs/>
          <w:color w:val="auto"/>
          <w:kern w:val="2"/>
          <w:sz w:val="32"/>
          <w:szCs w:val="32"/>
          <w:u w:val="none"/>
          <w:lang w:val="en-US" w:eastAsia="zh-CN" w:bidi="ar-SA"/>
        </w:rPr>
        <w:t>产业发展提质增效，激活核心动能跃升引擎。</w:t>
      </w:r>
      <w:r>
        <w:rPr>
          <w:rFonts w:hint="eastAsia" w:ascii="仿宋_GB2312" w:hAnsi="仿宋_GB2312" w:eastAsia="仿宋_GB2312" w:cs="仿宋_GB2312"/>
          <w:color w:val="auto"/>
          <w:kern w:val="2"/>
          <w:sz w:val="32"/>
          <w:szCs w:val="21"/>
          <w:u w:val="none"/>
          <w:lang w:val="en-US" w:eastAsia="zh-CN" w:bidi="ar-SA"/>
        </w:rPr>
        <w:t>“十四五”时期，扶沟县持续深化产业转型升级，农业、制造业、服务业协同发展，产业基础不断夯实、集群效应加速显现，为高质量发展注入强劲动能。</w:t>
      </w:r>
      <w:r>
        <w:rPr>
          <w:rFonts w:hint="eastAsia" w:ascii="仿宋_GB2312" w:hAnsi="仿宋_GB2312" w:eastAsia="仿宋_GB2312" w:cs="仿宋_GB2312"/>
          <w:b/>
          <w:bCs/>
          <w:color w:val="auto"/>
          <w:kern w:val="2"/>
          <w:sz w:val="32"/>
          <w:szCs w:val="21"/>
          <w:u w:val="none"/>
          <w:lang w:val="en-US" w:eastAsia="zh-CN" w:bidi="ar-SA"/>
        </w:rPr>
        <w:t>农业现代化水平稳步提升。</w:t>
      </w:r>
      <w:r>
        <w:rPr>
          <w:rFonts w:hint="eastAsia" w:ascii="仿宋_GB2312" w:hAnsi="仿宋_GB2312" w:eastAsia="仿宋_GB2312" w:cs="仿宋_GB2312"/>
          <w:b w:val="0"/>
          <w:bCs w:val="0"/>
          <w:color w:val="auto"/>
          <w:kern w:val="2"/>
          <w:sz w:val="32"/>
          <w:szCs w:val="21"/>
          <w:u w:val="none"/>
          <w:lang w:val="en-US" w:eastAsia="zh-CN" w:bidi="ar-SA"/>
        </w:rPr>
        <w:t>除蔬菜产业外，粮食安全保障能力持续强化，2021-2024年累计投入超8.45亿元，建成高标准农田37万亩，占全县耕地面积29%；同步推进水利设施升级，2022年完成总投资20亿元的贾鲁河扶沟段综合治理工程，2024年投入2.8亿元疏浚河道64公里、维修闸涵33座，构建起“旱能浇、涝能排”的农田灌排体系，2025年粮食总产量达13.92亿斤。</w:t>
      </w:r>
      <w:r>
        <w:rPr>
          <w:rFonts w:hint="eastAsia" w:ascii="仿宋_GB2312" w:hAnsi="仿宋_GB2312" w:eastAsia="仿宋_GB2312" w:cs="仿宋_GB2312"/>
          <w:b/>
          <w:bCs/>
          <w:color w:val="auto"/>
          <w:kern w:val="2"/>
          <w:sz w:val="32"/>
          <w:szCs w:val="21"/>
          <w:u w:val="none"/>
          <w:lang w:val="en-US" w:eastAsia="zh-CN" w:bidi="ar-SA"/>
        </w:rPr>
        <w:t>工业集群化转型成效显著。</w:t>
      </w:r>
      <w:r>
        <w:rPr>
          <w:rFonts w:hint="eastAsia" w:ascii="仿宋_GB2312" w:hAnsi="仿宋_GB2312" w:eastAsia="仿宋_GB2312" w:cs="仿宋_GB2312"/>
          <w:color w:val="auto"/>
          <w:kern w:val="2"/>
          <w:sz w:val="32"/>
          <w:szCs w:val="21"/>
          <w:u w:val="none"/>
          <w:lang w:val="en-US" w:eastAsia="zh-CN" w:bidi="ar-SA"/>
        </w:rPr>
        <w:t>以先进制造业开发区为核心，“汽车零部件+纺织印染”两大主导产业为核心，通过“技改赋能-集群集聚-链上突破”，推动产业从“低端加工”向“中高端制造”转型。2021-2025年，两大主导产业产值年均增长23.2%，占规模以上工业比重超过52.7%。汽车零部件产业形成“核心部件+配套集群”格局，中原汽车零部件产业园、金泰铝制品产业园等专业园区入驻企业22家，金泰金属自主研发的铝合金汽车轮毂通过比亚迪供应商认证，维俏科技成为比亚迪一级供应商，2024年新能源汽车零部件产值占比突破40%。纺织印染产业实现“全链条协同”突破，中垣环保科技产业园建成全市首个印染污水处理中心，昌茂纺织开发绿色有机棉产品，水天服装建成海澜之家在豫最大生产基地，形成“纺纱（120万锭）-织布（2.4亿米）-印染（1.8亿米）-成衣（3000万件）”全产业链，2024年带动就业1.8万人，较2021年增长25%。</w:t>
      </w:r>
      <w:r>
        <w:rPr>
          <w:rFonts w:hint="eastAsia" w:ascii="仿宋_GB2312" w:hAnsi="仿宋_GB2312" w:eastAsia="仿宋_GB2312" w:cs="仿宋_GB2312"/>
          <w:b/>
          <w:bCs/>
          <w:color w:val="auto"/>
          <w:kern w:val="2"/>
          <w:sz w:val="32"/>
          <w:szCs w:val="21"/>
          <w:u w:val="none"/>
          <w:lang w:val="en-US" w:eastAsia="zh-CN" w:bidi="ar-SA"/>
        </w:rPr>
        <w:t>新兴产业培育实现突破。</w:t>
      </w:r>
      <w:r>
        <w:rPr>
          <w:rFonts w:hint="eastAsia" w:ascii="仿宋_GB2312" w:hAnsi="仿宋_GB2312" w:eastAsia="仿宋_GB2312" w:cs="仿宋_GB2312"/>
          <w:color w:val="auto"/>
          <w:kern w:val="2"/>
          <w:sz w:val="32"/>
          <w:szCs w:val="21"/>
          <w:u w:val="none"/>
          <w:lang w:val="en-US" w:eastAsia="zh-CN" w:bidi="ar-SA"/>
        </w:rPr>
        <w:t>2023年隆科威特种合金项目投产，填补先进有色金属材料领域空白；2024年东旭固态岩板电池项目开工，计划建设全固态电池研发中心，全面投产后年新增产值15亿元。数字经济加速发展，新建5G基站400座，推动145家规上制造业企业实现“上云用数赋智”，昌茂纺织、宝乐奶业等6家企业建成省市级智能化工厂（车间），高新技术产业增加值年均增长48%。</w:t>
      </w:r>
      <w:r>
        <w:rPr>
          <w:rFonts w:hint="eastAsia" w:ascii="仿宋_GB2312" w:hAnsi="仿宋_GB2312" w:eastAsia="仿宋_GB2312" w:cs="仿宋_GB2312"/>
          <w:b/>
          <w:bCs/>
          <w:color w:val="auto"/>
          <w:kern w:val="2"/>
          <w:sz w:val="32"/>
          <w:szCs w:val="21"/>
          <w:u w:val="none"/>
          <w:lang w:val="en-US" w:eastAsia="zh-CN" w:bidi="ar-SA"/>
        </w:rPr>
        <w:t>服务业融合发展态势良好。</w:t>
      </w:r>
      <w:r>
        <w:rPr>
          <w:rFonts w:hint="eastAsia" w:ascii="仿宋_GB2312" w:hAnsi="仿宋_GB2312" w:eastAsia="仿宋_GB2312" w:cs="仿宋_GB2312"/>
          <w:color w:val="auto"/>
          <w:kern w:val="2"/>
          <w:sz w:val="32"/>
          <w:szCs w:val="21"/>
          <w:u w:val="none"/>
          <w:lang w:val="en-US" w:eastAsia="zh-CN" w:bidi="ar-SA"/>
        </w:rPr>
        <w:t>现代物流业构建“通道+节点”网络，依托“一条高铁、三条高速”交通优势，建设京东区域物流港、三洋铁路扶沟货运站等枢纽，2024年实现货运吞吐量180万吨，较2021年翻番；推进“快递进村”工程，建成20个农村“一站式”邮政快递服务站，农村快递覆盖率达100%，2024年农产品线上销售额突破8亿元，占农产品总销售额比重达25%。文旅融合培育“红色+生态”特色IP，吉鸿昌将军纪念馆完成周边环境提升，初步形成以大程书院、蔬菜园区为依托的“理学文化+农事体验”研学线路，年举办各类文旅活动10余场次，带动文旅综合收入增长29%。</w:t>
      </w:r>
    </w:p>
    <w:p w14:paraId="62789B6A">
      <w:pPr>
        <w:pageBreakBefore w:val="0"/>
        <w:kinsoku/>
        <w:wordWrap/>
        <w:overflowPunct/>
        <w:topLinePunct w:val="0"/>
        <w:autoSpaceDE/>
        <w:bidi w:val="0"/>
        <w:adjustRightInd w:val="0"/>
        <w:snapToGrid w:val="0"/>
        <w:spacing w:line="560" w:lineRule="exact"/>
        <w:ind w:firstLine="643" w:firstLineChars="200"/>
        <w:textAlignment w:val="auto"/>
        <w:rPr>
          <w:rFonts w:hint="eastAsia" w:ascii="仿宋_GB2312" w:hAnsi="仿宋_GB2312" w:eastAsia="仿宋_GB2312" w:cs="仿宋_GB2312"/>
          <w:color w:val="auto"/>
          <w:kern w:val="2"/>
          <w:sz w:val="32"/>
          <w:szCs w:val="21"/>
          <w:u w:val="none"/>
          <w:lang w:val="en-US" w:eastAsia="zh-CN" w:bidi="ar-SA"/>
        </w:rPr>
      </w:pPr>
      <w:r>
        <w:rPr>
          <w:rFonts w:hint="eastAsia" w:ascii="楷体_GB2312" w:hAnsi="楷体_GB2312" w:eastAsia="楷体_GB2312" w:cs="楷体_GB2312"/>
          <w:b/>
          <w:bCs/>
          <w:color w:val="auto"/>
          <w:kern w:val="2"/>
          <w:sz w:val="32"/>
          <w:szCs w:val="32"/>
          <w:u w:val="none"/>
          <w:lang w:val="en-US" w:eastAsia="zh-CN" w:bidi="ar-SA"/>
        </w:rPr>
        <w:t>城乡面貌不断改善，擦亮宜居宜业品质底色。</w:t>
      </w:r>
      <w:r>
        <w:rPr>
          <w:rFonts w:hint="eastAsia" w:ascii="仿宋_GB2312" w:hAnsi="仿宋_GB2312" w:eastAsia="仿宋_GB2312" w:cs="仿宋_GB2312"/>
          <w:color w:val="auto"/>
          <w:kern w:val="2"/>
          <w:sz w:val="32"/>
          <w:szCs w:val="21"/>
          <w:u w:val="none"/>
          <w:lang w:val="en-US" w:eastAsia="zh-CN" w:bidi="ar-SA"/>
        </w:rPr>
        <w:t>“十四五”时期，扶沟县聚焦城市提质与乡村振兴，以补短板、强基础、优功能为抓手，持续推动城乡面貌从“基础改善”向“品质提升”跨越，构建“城市暖心、乡村宜居”的城乡融合发展新格局。</w:t>
      </w:r>
      <w:r>
        <w:rPr>
          <w:rFonts w:hint="eastAsia" w:ascii="仿宋_GB2312" w:hAnsi="仿宋_GB2312" w:eastAsia="仿宋_GB2312" w:cs="仿宋_GB2312"/>
          <w:b/>
          <w:bCs/>
          <w:color w:val="auto"/>
          <w:kern w:val="2"/>
          <w:sz w:val="32"/>
          <w:szCs w:val="21"/>
          <w:u w:val="none"/>
          <w:lang w:val="en-US" w:eastAsia="zh-CN" w:bidi="ar-SA"/>
        </w:rPr>
        <w:t>城市提质成效显著，功能品质持续提升。</w:t>
      </w:r>
      <w:r>
        <w:rPr>
          <w:rFonts w:hint="eastAsia" w:ascii="仿宋_GB2312" w:hAnsi="仿宋_GB2312" w:eastAsia="仿宋_GB2312" w:cs="仿宋_GB2312"/>
          <w:color w:val="auto"/>
          <w:kern w:val="2"/>
          <w:sz w:val="32"/>
          <w:szCs w:val="21"/>
          <w:u w:val="none"/>
          <w:lang w:val="en-US" w:eastAsia="zh-CN" w:bidi="ar-SA"/>
        </w:rPr>
        <w:t>城市路网持续优化，2021-2024年累计改造提升城区主次干道23条、背街小巷11条，构建起“主次分明、微循环畅通”的路网体系。城市功能不断完善，2021-2024年投入超4亿元推进民生设施建设，建成湿地公园、体育馆、游泳馆，新增公共停车位、电动汽车充电站（桩）；建成第一污水处理厂（一期）、扩建第二污水处理厂，城区污水处理能力从2021年的2万吨/日提升至2024年的4万吨/日；改造老旧小区33个、棚户区2个，交付安置房1738套，群众居住条件显著改善。城市生态品质持续提升，2021-2024年完成营造林9500亩、森林抚育8200亩，巩固省级森林城市创建成果，通过绿化亮化工程串联城区公园、游园，打造出“推窗见绿、出门入园”的生态宜居环境，城市暖心指数与群众幸福感显著提高。</w:t>
      </w:r>
      <w:r>
        <w:rPr>
          <w:rFonts w:hint="eastAsia" w:ascii="仿宋_GB2312" w:hAnsi="仿宋_GB2312" w:eastAsia="仿宋_GB2312" w:cs="仿宋_GB2312"/>
          <w:b/>
          <w:bCs/>
          <w:color w:val="auto"/>
          <w:kern w:val="2"/>
          <w:sz w:val="32"/>
          <w:szCs w:val="21"/>
          <w:u w:val="none"/>
          <w:lang w:val="en-US" w:eastAsia="zh-CN" w:bidi="ar-SA"/>
        </w:rPr>
        <w:t>乡村建设扎实推进，人居环境持续优化。</w:t>
      </w:r>
      <w:r>
        <w:rPr>
          <w:rFonts w:hint="eastAsia" w:ascii="仿宋_GB2312" w:hAnsi="仿宋_GB2312" w:eastAsia="仿宋_GB2312" w:cs="仿宋_GB2312"/>
          <w:color w:val="auto"/>
          <w:kern w:val="2"/>
          <w:sz w:val="32"/>
          <w:szCs w:val="21"/>
          <w:u w:val="none"/>
          <w:lang w:val="en-US" w:eastAsia="zh-CN" w:bidi="ar-SA"/>
        </w:rPr>
        <w:t>农村基础设施不断完善，完成省道改造提升工程3条、新改建农村道路366.4公里、危桥6座，建立农村供水数字化监管平台，成功创建省级数字乡村示范县。农村人居环境显著改善，累计投入超1.5亿元完善垃圾处理体系，农村生活垃圾日清运量稳定在300吨左右；完成户厕改造9.52万户、“一宅变四园”1936处，新增造林面积4.93万亩，打造出“垃圾不落地、污水不乱排、庭院有绿意”的美丽乡村样板。脱贫成果巩固与乡村基建同步推进，2021-2024年累计投入6.26亿元实施涉农项目94个，2024年消除返贫风险70户223人，农村生产生活条件持续改善。</w:t>
      </w:r>
    </w:p>
    <w:p w14:paraId="25B80DAB">
      <w:pPr>
        <w:pageBreakBefore w:val="0"/>
        <w:kinsoku/>
        <w:wordWrap/>
        <w:overflowPunct/>
        <w:topLinePunct w:val="0"/>
        <w:autoSpaceDE/>
        <w:bidi w:val="0"/>
        <w:adjustRightInd w:val="0"/>
        <w:snapToGrid w:val="0"/>
        <w:spacing w:line="560" w:lineRule="exact"/>
        <w:ind w:firstLine="643" w:firstLineChars="200"/>
        <w:textAlignment w:val="auto"/>
        <w:rPr>
          <w:rFonts w:hint="eastAsia" w:ascii="仿宋_GB2312" w:hAnsi="仿宋_GB2312" w:eastAsia="仿宋_GB2312" w:cs="仿宋_GB2312"/>
          <w:color w:val="auto"/>
          <w:kern w:val="2"/>
          <w:sz w:val="32"/>
          <w:szCs w:val="21"/>
          <w:u w:val="none"/>
          <w:lang w:val="en-US" w:eastAsia="zh-CN" w:bidi="ar-SA"/>
        </w:rPr>
      </w:pPr>
      <w:r>
        <w:rPr>
          <w:rFonts w:hint="eastAsia" w:ascii="楷体_GB2312" w:hAnsi="楷体_GB2312" w:eastAsia="楷体_GB2312" w:cs="楷体_GB2312"/>
          <w:b/>
          <w:bCs/>
          <w:color w:val="auto"/>
          <w:kern w:val="2"/>
          <w:sz w:val="32"/>
          <w:szCs w:val="32"/>
          <w:u w:val="none"/>
          <w:lang w:val="en-US" w:eastAsia="zh-CN" w:bidi="ar-SA"/>
        </w:rPr>
        <w:t>改革开放扎实推进，释放创新创造澎湃活力。</w:t>
      </w:r>
      <w:r>
        <w:rPr>
          <w:rFonts w:hint="eastAsia" w:ascii="仿宋_GB2312" w:hAnsi="仿宋_GB2312" w:eastAsia="仿宋_GB2312" w:cs="仿宋_GB2312"/>
          <w:color w:val="auto"/>
          <w:kern w:val="2"/>
          <w:sz w:val="32"/>
          <w:szCs w:val="21"/>
          <w:u w:val="none"/>
          <w:lang w:val="en-US" w:eastAsia="zh-CN" w:bidi="ar-SA"/>
        </w:rPr>
        <w:t>“十四五”时期，扶沟县以深化改革、优化服务、扩大开放为发展路径，持续提升政务效能、优化营商环境与拓展合作领域，为县域经济社会高质量发展注入强劲活力。</w:t>
      </w:r>
      <w:r>
        <w:rPr>
          <w:rFonts w:hint="eastAsia" w:ascii="仿宋_GB2312" w:hAnsi="仿宋_GB2312" w:eastAsia="仿宋_GB2312" w:cs="仿宋_GB2312"/>
          <w:b/>
          <w:bCs/>
          <w:color w:val="auto"/>
          <w:kern w:val="2"/>
          <w:sz w:val="32"/>
          <w:szCs w:val="21"/>
          <w:u w:val="none"/>
          <w:lang w:val="en-US" w:eastAsia="zh-CN" w:bidi="ar-SA"/>
        </w:rPr>
        <w:t>政务改革持续深化，行政效能显著提升。</w:t>
      </w:r>
      <w:r>
        <w:rPr>
          <w:rFonts w:hint="eastAsia" w:ascii="仿宋_GB2312" w:hAnsi="仿宋_GB2312" w:eastAsia="仿宋_GB2312" w:cs="仿宋_GB2312"/>
          <w:b w:val="0"/>
          <w:bCs w:val="0"/>
          <w:color w:val="auto"/>
          <w:kern w:val="2"/>
          <w:sz w:val="32"/>
          <w:szCs w:val="21"/>
          <w:u w:val="none"/>
          <w:lang w:val="en-US" w:eastAsia="zh-CN" w:bidi="ar-SA"/>
        </w:rPr>
        <w:t>扎实开展党纪学习教育、主题教育、“能力作风建设年”等活动，深入推进依法行政与党风廉政建设，2021-2024年累计办复人大代表建议493件、政协委员提案581件，审计监督审减政府投资项目资金超1.18亿元。持续优化政务服务流程，累计减少审批环节215个、取消证明材料86项，全市首创AI政务服务，政务服务从“最多跑一次”向“免证办、智能办”升级，2021-2024年累计新增市场主体2.42万户，市场活力持续释放。</w:t>
      </w:r>
      <w:r>
        <w:rPr>
          <w:rFonts w:hint="eastAsia" w:ascii="仿宋_GB2312" w:hAnsi="仿宋_GB2312" w:eastAsia="仿宋_GB2312" w:cs="仿宋_GB2312"/>
          <w:b/>
          <w:bCs/>
          <w:color w:val="auto"/>
          <w:kern w:val="2"/>
          <w:sz w:val="32"/>
          <w:szCs w:val="21"/>
          <w:u w:val="none"/>
          <w:lang w:val="en-US" w:eastAsia="zh-CN" w:bidi="ar-SA"/>
        </w:rPr>
        <w:t>营商环境不断优化，企业服务精准高效。</w:t>
      </w:r>
      <w:r>
        <w:rPr>
          <w:rFonts w:hint="eastAsia" w:ascii="仿宋_GB2312" w:hAnsi="仿宋_GB2312" w:eastAsia="仿宋_GB2312" w:cs="仿宋_GB2312"/>
          <w:b w:val="0"/>
          <w:bCs w:val="0"/>
          <w:color w:val="auto"/>
          <w:kern w:val="2"/>
          <w:sz w:val="32"/>
          <w:szCs w:val="21"/>
          <w:u w:val="none"/>
          <w:lang w:val="en-US" w:eastAsia="zh-CN" w:bidi="ar-SA"/>
        </w:rPr>
        <w:t>以“六最”营商环境为目标，2021-2024年累计高效解决涉企问题530件，为企业减税降费超4.63亿元；强化要素保障，为企业提供融资45.93亿元、助企招工2.3万人，切实缓解企业资金与用工难题。2022年，扶沟县在全省营商环境评价中项目保障指标位居全省第一位，为企业发展营造了良好环境。</w:t>
      </w:r>
      <w:r>
        <w:rPr>
          <w:rFonts w:hint="eastAsia" w:ascii="仿宋_GB2312" w:hAnsi="仿宋_GB2312" w:eastAsia="仿宋_GB2312" w:cs="仿宋_GB2312"/>
          <w:b/>
          <w:bCs/>
          <w:color w:val="auto"/>
          <w:kern w:val="2"/>
          <w:sz w:val="32"/>
          <w:szCs w:val="21"/>
          <w:u w:val="none"/>
          <w:lang w:val="en-US" w:eastAsia="zh-CN" w:bidi="ar-SA"/>
        </w:rPr>
        <w:t>开放合作持续拓展，发展空间不断拓宽。</w:t>
      </w:r>
      <w:r>
        <w:rPr>
          <w:rFonts w:hint="eastAsia" w:ascii="仿宋_GB2312" w:hAnsi="仿宋_GB2312" w:eastAsia="仿宋_GB2312" w:cs="仿宋_GB2312"/>
          <w:b w:val="0"/>
          <w:bCs w:val="0"/>
          <w:color w:val="auto"/>
          <w:kern w:val="2"/>
          <w:sz w:val="32"/>
          <w:szCs w:val="21"/>
          <w:u w:val="none"/>
          <w:lang w:val="en-US" w:eastAsia="zh-CN" w:bidi="ar-SA"/>
        </w:rPr>
        <w:t>立足“一条高铁、三条高速”交通优势，主动融入郑州都市圈、对接长三角和珠三角，构建“引进来”与“走出去”双向发力的开放格局。创新开展链式招商、驻地招商、以商招商，“十四五”时期累计签约项目125个，总投资超800亿元，中原汽车零部件产业园、蔬菜精深加工产业园等专业园区入驻企业超50家，形成“龙头带动、集群发展”的产业生态。对外合作领域持续拓宽，深化与河南农业大学、河南工程学院等高校院所产学研合作，共建蔬菜研究院、纺织产业学院等创新平台12个；推动金泰金属与比亚迪、水天服装与海澜之家等达成长期合作；会展经济与电商经济蓬勃发展，依托绿业元会展中心举办中原蔬菜博览会等活动30场，建成海选文创农产品直播电商基地，“扶沟蔬菜”“扶沟辣椒”等品牌远销20余个省市，对外开放影响力持续扩大。</w:t>
      </w:r>
    </w:p>
    <w:p w14:paraId="243339B2">
      <w:pPr>
        <w:pageBreakBefore w:val="0"/>
        <w:kinsoku/>
        <w:wordWrap/>
        <w:overflowPunct/>
        <w:topLinePunct w:val="0"/>
        <w:autoSpaceDE/>
        <w:bidi w:val="0"/>
        <w:adjustRightInd w:val="0"/>
        <w:snapToGrid w:val="0"/>
        <w:spacing w:line="560" w:lineRule="exact"/>
        <w:ind w:firstLine="643" w:firstLineChars="200"/>
        <w:textAlignment w:val="auto"/>
        <w:rPr>
          <w:rFonts w:hint="eastAsia" w:ascii="楷体_GB2312" w:hAnsi="楷体_GB2312" w:eastAsia="楷体_GB2312" w:cs="楷体_GB2312"/>
          <w:b/>
          <w:bCs/>
          <w:color w:val="auto"/>
          <w:kern w:val="2"/>
          <w:sz w:val="32"/>
          <w:szCs w:val="32"/>
          <w:u w:val="none"/>
          <w:lang w:val="en-US" w:eastAsia="zh-CN" w:bidi="ar-SA"/>
        </w:rPr>
      </w:pPr>
      <w:r>
        <w:rPr>
          <w:rFonts w:hint="eastAsia" w:ascii="楷体_GB2312" w:hAnsi="楷体_GB2312" w:eastAsia="楷体_GB2312" w:cs="楷体_GB2312"/>
          <w:b/>
          <w:bCs/>
          <w:color w:val="auto"/>
          <w:kern w:val="2"/>
          <w:sz w:val="32"/>
          <w:szCs w:val="32"/>
          <w:u w:val="none"/>
          <w:lang w:val="en-US" w:eastAsia="zh-CN" w:bidi="ar-SA"/>
        </w:rPr>
        <w:t>生态底色更加靓丽，绘就绿色发展鲜明图景。</w:t>
      </w:r>
      <w:r>
        <w:rPr>
          <w:rFonts w:hint="eastAsia" w:ascii="仿宋_GB2312" w:hAnsi="仿宋_GB2312" w:eastAsia="仿宋_GB2312" w:cs="仿宋_GB2312"/>
          <w:b w:val="0"/>
          <w:bCs w:val="0"/>
          <w:color w:val="auto"/>
          <w:kern w:val="2"/>
          <w:sz w:val="32"/>
          <w:szCs w:val="21"/>
          <w:u w:val="none"/>
          <w:lang w:val="en-US" w:eastAsia="zh-CN" w:bidi="ar-SA"/>
        </w:rPr>
        <w:t>“十四五”时期，扶沟县深入践行“绿水青山就是金山银山”理念，统筹推进生态保护、污染防治和绿色转型，生态环境质量持续改善，为高质量发展增添了鲜明绿色底色。</w:t>
      </w:r>
      <w:r>
        <w:rPr>
          <w:rFonts w:hint="eastAsia" w:ascii="仿宋_GB2312" w:hAnsi="仿宋_GB2312" w:eastAsia="仿宋_GB2312" w:cs="仿宋_GB2312"/>
          <w:b/>
          <w:bCs/>
          <w:color w:val="auto"/>
          <w:kern w:val="2"/>
          <w:sz w:val="32"/>
          <w:szCs w:val="21"/>
          <w:u w:val="none"/>
          <w:lang w:val="en-US" w:eastAsia="zh-CN" w:bidi="ar-SA"/>
        </w:rPr>
        <w:t>生态保护修复扎实推进。</w:t>
      </w:r>
      <w:r>
        <w:rPr>
          <w:rFonts w:hint="eastAsia" w:ascii="仿宋_GB2312" w:hAnsi="仿宋_GB2312" w:eastAsia="仿宋_GB2312" w:cs="仿宋_GB2312"/>
          <w:b w:val="0"/>
          <w:bCs w:val="0"/>
          <w:color w:val="auto"/>
          <w:kern w:val="2"/>
          <w:sz w:val="32"/>
          <w:szCs w:val="21"/>
          <w:u w:val="none"/>
          <w:lang w:val="en-US" w:eastAsia="zh-CN" w:bidi="ar-SA"/>
        </w:rPr>
        <w:t>持续巩固省级森林城市创建成果，完成营造林9500亩、森林抚育8200亩，城市绿化覆盖率不断提高，生态廊道建设成效显著。加强河流生态治理，完成贾鲁河扶沟段综合治理工程，疏浚河道64公里，维修闸涵33座，河流生态功能持续恢复。推进湿地保护与修复，打造贾鲁河、清水河等生态廊道，构建起“林水相依、绿廊相连”的生态格局，为群众提供了更多生态休闲空间。</w:t>
      </w:r>
      <w:r>
        <w:rPr>
          <w:rFonts w:hint="eastAsia" w:ascii="仿宋_GB2312" w:hAnsi="仿宋_GB2312" w:eastAsia="仿宋_GB2312" w:cs="仿宋_GB2312"/>
          <w:b/>
          <w:bCs/>
          <w:color w:val="auto"/>
          <w:kern w:val="2"/>
          <w:sz w:val="30"/>
          <w:szCs w:val="30"/>
          <w:u w:val="none"/>
          <w:lang w:val="en-US" w:eastAsia="zh-CN" w:bidi="ar-SA"/>
        </w:rPr>
        <w:t>污染防治攻坚成效明显。</w:t>
      </w:r>
      <w:r>
        <w:rPr>
          <w:rFonts w:hint="eastAsia" w:ascii="仿宋_GB2312" w:hAnsi="仿宋_GB2312" w:eastAsia="仿宋_GB2312" w:cs="仿宋_GB2312"/>
          <w:b w:val="0"/>
          <w:bCs w:val="0"/>
          <w:color w:val="auto"/>
          <w:kern w:val="2"/>
          <w:sz w:val="32"/>
          <w:szCs w:val="21"/>
          <w:u w:val="none"/>
          <w:lang w:val="en-US" w:eastAsia="zh-CN" w:bidi="ar-SA"/>
        </w:rPr>
        <w:t>严格落实大气污染防治各项措施，加强工业废气、扬尘、机动车尾气等管控，空气质量持续改善，2024年我县空气质量综合排名居全市第二位。推进水污染防治，建成第一污水处理厂（一期）、扩建第二污水处理厂，城区污水处理能力大幅提升；完善农村污水处理设施，13个乡镇污水处理厂全面建成，农村污水治理能力显著增强。加强土壤污染防治，推广绿色种植技术，减少农业面源污染，土壤环境质量保持稳定，为农产品质量安全提供了坚实保障。</w:t>
      </w:r>
      <w:r>
        <w:rPr>
          <w:rFonts w:hint="eastAsia" w:ascii="仿宋_GB2312" w:hAnsi="仿宋_GB2312" w:eastAsia="仿宋_GB2312" w:cs="仿宋_GB2312"/>
          <w:b/>
          <w:bCs/>
          <w:color w:val="auto"/>
          <w:kern w:val="2"/>
          <w:sz w:val="32"/>
          <w:szCs w:val="21"/>
          <w:u w:val="none"/>
          <w:lang w:val="en-US" w:eastAsia="zh-CN" w:bidi="ar-SA"/>
        </w:rPr>
        <w:t>绿色发展理念深入人心。</w:t>
      </w:r>
      <w:r>
        <w:rPr>
          <w:rFonts w:hint="eastAsia" w:ascii="仿宋_GB2312" w:hAnsi="仿宋_GB2312" w:eastAsia="仿宋_GB2312" w:cs="仿宋_GB2312"/>
          <w:b w:val="0"/>
          <w:bCs w:val="0"/>
          <w:color w:val="auto"/>
          <w:kern w:val="2"/>
          <w:sz w:val="32"/>
          <w:szCs w:val="21"/>
          <w:u w:val="none"/>
          <w:lang w:val="en-US" w:eastAsia="zh-CN" w:bidi="ar-SA"/>
        </w:rPr>
        <w:t>积极推动产业绿色转型，中垣环保科技产业园建成全市首个印染污水处理中心，昌茂纺织实施超柔纱工艺改造，开发绿色有机棉产品，工业绿色发展水平不断提升。推广绿色农业技术，减少化肥农药使用量，推广水肥一体化、绿色防控等技术，农业面源污染得到有效控制。倡导绿色生活方式，推进垃圾分类，推广新能源汽车，绿色出行、低碳生活成为群众自觉行动，全社会形成共同参与生态环境保护的良好氛围。</w:t>
      </w:r>
    </w:p>
    <w:p w14:paraId="051D9F75">
      <w:pPr>
        <w:pageBreakBefore w:val="0"/>
        <w:kinsoku/>
        <w:wordWrap/>
        <w:overflowPunct/>
        <w:topLinePunct w:val="0"/>
        <w:autoSpaceDE/>
        <w:bidi w:val="0"/>
        <w:adjustRightInd w:val="0"/>
        <w:snapToGrid w:val="0"/>
        <w:spacing w:line="560" w:lineRule="exact"/>
        <w:ind w:firstLine="643" w:firstLineChars="200"/>
        <w:textAlignment w:val="auto"/>
        <w:rPr>
          <w:rFonts w:hint="eastAsia" w:ascii="仿宋_GB2312" w:hAnsi="仿宋_GB2312" w:eastAsia="仿宋_GB2312" w:cs="仿宋_GB2312"/>
          <w:color w:val="auto"/>
          <w:kern w:val="2"/>
          <w:sz w:val="32"/>
          <w:szCs w:val="21"/>
          <w:u w:val="none"/>
          <w:lang w:val="en-US" w:eastAsia="zh-CN" w:bidi="ar-SA"/>
        </w:rPr>
      </w:pPr>
      <w:r>
        <w:rPr>
          <w:rFonts w:hint="eastAsia" w:ascii="楷体_GB2312" w:hAnsi="楷体_GB2312" w:eastAsia="楷体_GB2312" w:cs="楷体_GB2312"/>
          <w:b/>
          <w:bCs/>
          <w:color w:val="auto"/>
          <w:kern w:val="2"/>
          <w:sz w:val="32"/>
          <w:szCs w:val="32"/>
          <w:u w:val="none"/>
          <w:lang w:val="en-US" w:eastAsia="zh-CN" w:bidi="ar-SA"/>
        </w:rPr>
        <w:t>民生福祉持续增进，筑牢群众幸福生活根基。</w:t>
      </w:r>
      <w:r>
        <w:rPr>
          <w:rFonts w:hint="default" w:ascii="仿宋_GB2312" w:hAnsi="仿宋_GB2312" w:eastAsia="仿宋_GB2312" w:cs="仿宋_GB2312"/>
          <w:color w:val="auto"/>
          <w:kern w:val="2"/>
          <w:sz w:val="32"/>
          <w:szCs w:val="21"/>
          <w:u w:val="none"/>
          <w:lang w:val="en-US" w:eastAsia="zh-CN" w:bidi="ar-SA"/>
        </w:rPr>
        <w:t>“十四五”时期，扶沟县始终坚持以人民为中心的发展思想，聚焦就业、教育、医疗、养老、社会保障等群众最关心的民生领域，持续加大投入、优化服务、补齐短板，推动民生福祉从“基础保障”向“品质提升”跨越，让群众获得感、幸福感、安全感更加充实、更有保障、更可持续。</w:t>
      </w:r>
      <w:r>
        <w:rPr>
          <w:rFonts w:hint="default" w:ascii="仿宋_GB2312" w:hAnsi="仿宋_GB2312" w:eastAsia="仿宋_GB2312" w:cs="仿宋_GB2312"/>
          <w:b/>
          <w:bCs/>
          <w:color w:val="auto"/>
          <w:kern w:val="2"/>
          <w:sz w:val="32"/>
          <w:szCs w:val="21"/>
          <w:u w:val="none"/>
          <w:lang w:val="en-US" w:eastAsia="zh-CN" w:bidi="ar-SA"/>
        </w:rPr>
        <w:t>就业创业保障坚实有力。</w:t>
      </w:r>
      <w:r>
        <w:rPr>
          <w:rFonts w:hint="default" w:ascii="仿宋_GB2312" w:hAnsi="仿宋_GB2312" w:eastAsia="仿宋_GB2312" w:cs="仿宋_GB2312"/>
          <w:color w:val="auto"/>
          <w:kern w:val="2"/>
          <w:sz w:val="32"/>
          <w:szCs w:val="21"/>
          <w:u w:val="none"/>
          <w:lang w:val="en-US" w:eastAsia="zh-CN" w:bidi="ar-SA"/>
        </w:rPr>
        <w:t>扎实推进“人人持证、技能河南”建设，累计新增技能人才4.684万人，有效提升劳动力就业竞争力；城镇新增就业累计</w:t>
      </w:r>
      <w:r>
        <w:rPr>
          <w:rFonts w:hint="eastAsia" w:ascii="仿宋_GB2312" w:hAnsi="仿宋_GB2312" w:eastAsia="仿宋_GB2312" w:cs="仿宋_GB2312"/>
          <w:color w:val="auto"/>
          <w:kern w:val="2"/>
          <w:sz w:val="32"/>
          <w:szCs w:val="21"/>
          <w:u w:val="none"/>
          <w:lang w:val="en-US" w:eastAsia="zh-CN" w:bidi="ar-SA"/>
        </w:rPr>
        <w:t>28000余</w:t>
      </w:r>
      <w:r>
        <w:rPr>
          <w:rFonts w:hint="default" w:ascii="仿宋_GB2312" w:hAnsi="仿宋_GB2312" w:eastAsia="仿宋_GB2312" w:cs="仿宋_GB2312"/>
          <w:color w:val="auto"/>
          <w:kern w:val="2"/>
          <w:sz w:val="32"/>
          <w:szCs w:val="21"/>
          <w:u w:val="none"/>
          <w:lang w:val="en-US" w:eastAsia="zh-CN" w:bidi="ar-SA"/>
        </w:rPr>
        <w:t>人，农村劳动力转移就业累计25750人。大力支持创业带动就业，累计发放创业贷款</w:t>
      </w:r>
      <w:r>
        <w:rPr>
          <w:rFonts w:hint="eastAsia" w:ascii="仿宋_GB2312" w:hAnsi="仿宋_GB2312" w:eastAsia="仿宋_GB2312" w:cs="仿宋_GB2312"/>
          <w:color w:val="auto"/>
          <w:kern w:val="2"/>
          <w:sz w:val="32"/>
          <w:szCs w:val="21"/>
          <w:u w:val="none"/>
          <w:lang w:val="en-US" w:eastAsia="zh-CN" w:bidi="ar-SA"/>
        </w:rPr>
        <w:t>3</w:t>
      </w:r>
      <w:r>
        <w:rPr>
          <w:rFonts w:hint="default" w:ascii="仿宋_GB2312" w:hAnsi="仿宋_GB2312" w:eastAsia="仿宋_GB2312" w:cs="仿宋_GB2312"/>
          <w:color w:val="auto"/>
          <w:kern w:val="2"/>
          <w:sz w:val="32"/>
          <w:szCs w:val="21"/>
          <w:u w:val="none"/>
          <w:lang w:val="en-US" w:eastAsia="zh-CN" w:bidi="ar-SA"/>
        </w:rPr>
        <w:t>亿</w:t>
      </w:r>
      <w:r>
        <w:rPr>
          <w:rFonts w:hint="eastAsia" w:ascii="仿宋_GB2312" w:hAnsi="仿宋_GB2312" w:eastAsia="仿宋_GB2312" w:cs="仿宋_GB2312"/>
          <w:color w:val="auto"/>
          <w:kern w:val="2"/>
          <w:sz w:val="32"/>
          <w:szCs w:val="21"/>
          <w:u w:val="none"/>
          <w:lang w:val="en-US" w:eastAsia="zh-CN" w:bidi="ar-SA"/>
        </w:rPr>
        <w:t>余</w:t>
      </w:r>
      <w:r>
        <w:rPr>
          <w:rFonts w:hint="default" w:ascii="仿宋_GB2312" w:hAnsi="仿宋_GB2312" w:eastAsia="仿宋_GB2312" w:cs="仿宋_GB2312"/>
          <w:color w:val="auto"/>
          <w:kern w:val="2"/>
          <w:sz w:val="32"/>
          <w:szCs w:val="21"/>
          <w:u w:val="none"/>
          <w:lang w:val="en-US" w:eastAsia="zh-CN" w:bidi="ar-SA"/>
        </w:rPr>
        <w:t>元，建成扶沟县农贸城、昌茂纺织产业园2个省级农民工返乡创业示范园区，吸引1230人返乡创业，形成“就业有技能、创业有支持、增收有路径”的良好格局。</w:t>
      </w:r>
      <w:r>
        <w:rPr>
          <w:rFonts w:hint="default" w:ascii="仿宋_GB2312" w:hAnsi="仿宋_GB2312" w:eastAsia="仿宋_GB2312" w:cs="仿宋_GB2312"/>
          <w:b/>
          <w:bCs/>
          <w:color w:val="auto"/>
          <w:kern w:val="2"/>
          <w:sz w:val="32"/>
          <w:szCs w:val="21"/>
          <w:u w:val="none"/>
          <w:lang w:val="en-US" w:eastAsia="zh-CN" w:bidi="ar-SA"/>
        </w:rPr>
        <w:t>教育医疗事业提质升级。</w:t>
      </w:r>
      <w:r>
        <w:rPr>
          <w:rFonts w:hint="default" w:ascii="仿宋_GB2312" w:hAnsi="仿宋_GB2312" w:eastAsia="仿宋_GB2312" w:cs="仿宋_GB2312"/>
          <w:color w:val="auto"/>
          <w:kern w:val="2"/>
          <w:sz w:val="32"/>
          <w:szCs w:val="21"/>
          <w:u w:val="none"/>
          <w:lang w:val="en-US" w:eastAsia="zh-CN" w:bidi="ar-SA"/>
        </w:rPr>
        <w:t>累计投入21.2亿元推进教育事业发展，投资10.2亿元在城区新建学校4所，改扩建学校167所，新增学位7884个；补充各级各类学校教师1183名；投资6793万元新建乡镇公办幼儿园11所，新增学位2070个，公办园占比提升至58.47%；投入3.75亿元为全县中小学配置电脑、复印机、录播教室、专递课堂等，全方位夯实教育发展物质基础。中招高分层人数占比持续位居全市第一，本科上线率逐年增长，稳居全市第一方阵；与河南大学教育学部、周口华园科技有限公司联合共建河南省县域教育数字化转型研究院，成为全省首个以县区为单位整体推进学前智慧教育建设的县市。累计投资超7.4亿元推进医疗设施建设，县人民医院、永善医院分别创建三级综合医院、三级专科医院，完成16个乡镇卫生院升级改造，乡镇卫生院实现常见病诊疗全覆盖；2022年成功创建“全国科普示范县”“省级卫生县城”</w:t>
      </w:r>
      <w:r>
        <w:rPr>
          <w:rFonts w:hint="eastAsia" w:ascii="仿宋_GB2312" w:hAnsi="仿宋_GB2312" w:eastAsia="仿宋_GB2312" w:cs="仿宋_GB2312"/>
          <w:color w:val="auto"/>
          <w:kern w:val="2"/>
          <w:sz w:val="32"/>
          <w:szCs w:val="21"/>
          <w:u w:val="none"/>
          <w:lang w:val="en-US" w:eastAsia="zh-CN" w:bidi="ar-SA"/>
        </w:rPr>
        <w:t>，</w:t>
      </w:r>
      <w:r>
        <w:rPr>
          <w:rFonts w:hint="default" w:ascii="仿宋_GB2312" w:hAnsi="仿宋_GB2312" w:eastAsia="仿宋_GB2312" w:cs="仿宋_GB2312"/>
          <w:color w:val="auto"/>
          <w:kern w:val="2"/>
          <w:sz w:val="32"/>
          <w:szCs w:val="21"/>
          <w:u w:val="none"/>
          <w:lang w:val="en-US" w:eastAsia="zh-CN" w:bidi="ar-SA"/>
        </w:rPr>
        <w:t>2024年门诊、住院次均费用同比分别下降4.4%、4.1%，群众就医负担持续减轻，公共卫生服务能力显著增强。</w:t>
      </w:r>
      <w:r>
        <w:rPr>
          <w:rFonts w:hint="default" w:ascii="仿宋_GB2312" w:hAnsi="仿宋_GB2312" w:eastAsia="仿宋_GB2312" w:cs="仿宋_GB2312"/>
          <w:b/>
          <w:bCs/>
          <w:color w:val="auto"/>
          <w:kern w:val="2"/>
          <w:sz w:val="32"/>
          <w:szCs w:val="21"/>
          <w:u w:val="none"/>
          <w:lang w:val="en-US" w:eastAsia="zh-CN" w:bidi="ar-SA"/>
        </w:rPr>
        <w:t>社会保障体系不断完善。</w:t>
      </w:r>
      <w:r>
        <w:rPr>
          <w:rFonts w:hint="default" w:ascii="仿宋_GB2312" w:hAnsi="仿宋_GB2312" w:eastAsia="仿宋_GB2312" w:cs="仿宋_GB2312"/>
          <w:color w:val="auto"/>
          <w:kern w:val="2"/>
          <w:sz w:val="32"/>
          <w:szCs w:val="21"/>
          <w:u w:val="none"/>
          <w:lang w:val="en-US" w:eastAsia="zh-CN" w:bidi="ar-SA"/>
        </w:rPr>
        <w:t>持续加大民生资金投入，累计发放城乡低保金</w:t>
      </w:r>
      <w:r>
        <w:rPr>
          <w:rFonts w:hint="eastAsia" w:ascii="仿宋_GB2312" w:hAnsi="仿宋_GB2312" w:eastAsia="仿宋_GB2312" w:cs="仿宋_GB2312"/>
          <w:color w:val="auto"/>
          <w:kern w:val="2"/>
          <w:sz w:val="32"/>
          <w:szCs w:val="21"/>
          <w:u w:val="none"/>
          <w:lang w:val="en-US" w:eastAsia="zh-CN" w:bidi="ar-SA"/>
        </w:rPr>
        <w:t>34176</w:t>
      </w:r>
      <w:r>
        <w:rPr>
          <w:rFonts w:hint="default" w:ascii="仿宋_GB2312" w:hAnsi="仿宋_GB2312" w:eastAsia="仿宋_GB2312" w:cs="仿宋_GB2312"/>
          <w:color w:val="auto"/>
          <w:kern w:val="2"/>
          <w:sz w:val="32"/>
          <w:szCs w:val="21"/>
          <w:u w:val="none"/>
          <w:lang w:val="en-US" w:eastAsia="zh-CN" w:bidi="ar-SA"/>
        </w:rPr>
        <w:t>万元、特困供养金</w:t>
      </w:r>
      <w:r>
        <w:rPr>
          <w:rFonts w:hint="eastAsia" w:ascii="仿宋_GB2312" w:hAnsi="仿宋_GB2312" w:eastAsia="仿宋_GB2312" w:cs="仿宋_GB2312"/>
          <w:color w:val="auto"/>
          <w:kern w:val="2"/>
          <w:sz w:val="32"/>
          <w:szCs w:val="21"/>
          <w:u w:val="none"/>
          <w:lang w:val="en-US" w:eastAsia="zh-CN" w:bidi="ar-SA"/>
        </w:rPr>
        <w:t>10979</w:t>
      </w:r>
      <w:r>
        <w:rPr>
          <w:rFonts w:hint="default" w:ascii="仿宋_GB2312" w:hAnsi="仿宋_GB2312" w:eastAsia="仿宋_GB2312" w:cs="仿宋_GB2312"/>
          <w:color w:val="auto"/>
          <w:kern w:val="2"/>
          <w:sz w:val="32"/>
          <w:szCs w:val="21"/>
          <w:u w:val="none"/>
          <w:lang w:val="en-US" w:eastAsia="zh-CN" w:bidi="ar-SA"/>
        </w:rPr>
        <w:t>万元、残疾人补贴</w:t>
      </w:r>
      <w:r>
        <w:rPr>
          <w:rFonts w:hint="eastAsia" w:ascii="仿宋_GB2312" w:hAnsi="仿宋_GB2312" w:eastAsia="仿宋_GB2312" w:cs="仿宋_GB2312"/>
          <w:color w:val="auto"/>
          <w:kern w:val="2"/>
          <w:sz w:val="32"/>
          <w:szCs w:val="21"/>
          <w:u w:val="none"/>
          <w:lang w:val="en-US" w:eastAsia="zh-CN" w:bidi="ar-SA"/>
        </w:rPr>
        <w:t>7365</w:t>
      </w:r>
      <w:r>
        <w:rPr>
          <w:rFonts w:hint="default" w:ascii="仿宋_GB2312" w:hAnsi="仿宋_GB2312" w:eastAsia="仿宋_GB2312" w:cs="仿宋_GB2312"/>
          <w:color w:val="auto"/>
          <w:kern w:val="2"/>
          <w:sz w:val="32"/>
          <w:szCs w:val="21"/>
          <w:u w:val="none"/>
          <w:lang w:val="en-US" w:eastAsia="zh-CN" w:bidi="ar-SA"/>
        </w:rPr>
        <w:t>万元、高龄津贴</w:t>
      </w:r>
      <w:r>
        <w:rPr>
          <w:rFonts w:hint="eastAsia" w:ascii="仿宋_GB2312" w:hAnsi="仿宋_GB2312" w:eastAsia="仿宋_GB2312" w:cs="仿宋_GB2312"/>
          <w:color w:val="auto"/>
          <w:kern w:val="2"/>
          <w:sz w:val="32"/>
          <w:szCs w:val="21"/>
          <w:u w:val="none"/>
          <w:lang w:val="en-US" w:eastAsia="zh-CN" w:bidi="ar-SA"/>
        </w:rPr>
        <w:t>4813</w:t>
      </w:r>
      <w:r>
        <w:rPr>
          <w:rFonts w:hint="default" w:ascii="仿宋_GB2312" w:hAnsi="仿宋_GB2312" w:eastAsia="仿宋_GB2312" w:cs="仿宋_GB2312"/>
          <w:color w:val="auto"/>
          <w:kern w:val="2"/>
          <w:sz w:val="32"/>
          <w:szCs w:val="21"/>
          <w:u w:val="none"/>
          <w:lang w:val="en-US" w:eastAsia="zh-CN" w:bidi="ar-SA"/>
        </w:rPr>
        <w:t>万元，切实保障特殊群体基本生活。在专项救助方面，累计完成0-14岁残疾儿童康复救助</w:t>
      </w:r>
      <w:r>
        <w:rPr>
          <w:rFonts w:hint="eastAsia" w:ascii="仿宋_GB2312" w:hAnsi="仿宋_GB2312" w:eastAsia="仿宋_GB2312" w:cs="仿宋_GB2312"/>
          <w:color w:val="auto"/>
          <w:kern w:val="2"/>
          <w:sz w:val="32"/>
          <w:szCs w:val="21"/>
          <w:u w:val="none"/>
          <w:lang w:val="en-US" w:eastAsia="zh-CN" w:bidi="ar-SA"/>
        </w:rPr>
        <w:t>1091</w:t>
      </w:r>
      <w:r>
        <w:rPr>
          <w:rFonts w:hint="default" w:ascii="仿宋_GB2312" w:hAnsi="仿宋_GB2312" w:eastAsia="仿宋_GB2312" w:cs="仿宋_GB2312"/>
          <w:color w:val="auto"/>
          <w:kern w:val="2"/>
          <w:sz w:val="32"/>
          <w:szCs w:val="21"/>
          <w:u w:val="none"/>
          <w:lang w:val="en-US" w:eastAsia="zh-CN" w:bidi="ar-SA"/>
        </w:rPr>
        <w:t>名</w:t>
      </w:r>
      <w:r>
        <w:rPr>
          <w:rFonts w:hint="eastAsia" w:ascii="仿宋_GB2312" w:hAnsi="仿宋_GB2312" w:eastAsia="仿宋_GB2312" w:cs="仿宋_GB2312"/>
          <w:color w:val="auto"/>
          <w:kern w:val="2"/>
          <w:sz w:val="32"/>
          <w:szCs w:val="21"/>
          <w:u w:val="none"/>
          <w:lang w:val="en-US" w:eastAsia="zh-CN" w:bidi="ar-SA"/>
        </w:rPr>
        <w:t>，残疾人精准康复4197人次，完成困难重度残疾人家庭无障碍改造969户，</w:t>
      </w:r>
      <w:r>
        <w:rPr>
          <w:rFonts w:hint="default" w:ascii="仿宋_GB2312" w:hAnsi="仿宋_GB2312" w:eastAsia="仿宋_GB2312" w:cs="仿宋_GB2312"/>
          <w:color w:val="auto"/>
          <w:kern w:val="2"/>
          <w:sz w:val="32"/>
          <w:szCs w:val="21"/>
          <w:u w:val="none"/>
          <w:lang w:val="en-US" w:eastAsia="zh-CN" w:bidi="ar-SA"/>
        </w:rPr>
        <w:t>“两筛”“两癌”筛查11.58万人次，完成困难家庭居家适老化改造1908户，让兜底保障既有“温度”又有“力度”。住房保障扎实推进，累计完成3424套保交楼任务，2024年在全市率先完成3168套，妥善化解5个问题楼盘，切实保障群众住房权益。</w:t>
      </w:r>
    </w:p>
    <w:p w14:paraId="58A1E431">
      <w:pPr>
        <w:pageBreakBefore w:val="0"/>
        <w:kinsoku/>
        <w:wordWrap/>
        <w:overflowPunct/>
        <w:topLinePunct w:val="0"/>
        <w:autoSpaceDE/>
        <w:bidi w:val="0"/>
        <w:adjustRightInd w:val="0"/>
        <w:snapToGrid w:val="0"/>
        <w:spacing w:line="560" w:lineRule="exact"/>
        <w:ind w:firstLine="643" w:firstLineChars="200"/>
        <w:textAlignment w:val="auto"/>
        <w:rPr>
          <w:rFonts w:hint="default" w:ascii="仿宋_GB2312" w:hAnsi="仿宋_GB2312" w:eastAsia="仿宋_GB2312" w:cs="仿宋_GB2312"/>
          <w:b w:val="0"/>
          <w:bCs w:val="0"/>
          <w:color w:val="auto"/>
          <w:kern w:val="2"/>
          <w:sz w:val="32"/>
          <w:szCs w:val="21"/>
          <w:u w:val="none"/>
          <w:lang w:val="en-US" w:eastAsia="zh-CN" w:bidi="ar-SA"/>
        </w:rPr>
      </w:pPr>
      <w:r>
        <w:rPr>
          <w:rFonts w:hint="eastAsia" w:ascii="楷体_GB2312" w:hAnsi="楷体_GB2312" w:eastAsia="楷体_GB2312" w:cs="楷体_GB2312"/>
          <w:b/>
          <w:bCs/>
          <w:color w:val="auto"/>
          <w:kern w:val="2"/>
          <w:sz w:val="32"/>
          <w:szCs w:val="32"/>
          <w:u w:val="none"/>
          <w:lang w:val="en-US" w:eastAsia="zh-CN" w:bidi="ar-SA"/>
        </w:rPr>
        <w:t>社会治理全面加强，守护社会大局安定有序。</w:t>
      </w:r>
      <w:r>
        <w:rPr>
          <w:rFonts w:hint="default" w:ascii="仿宋_GB2312" w:hAnsi="仿宋_GB2312" w:eastAsia="仿宋_GB2312" w:cs="仿宋_GB2312"/>
          <w:b w:val="0"/>
          <w:bCs w:val="0"/>
          <w:color w:val="auto"/>
          <w:kern w:val="2"/>
          <w:sz w:val="32"/>
          <w:szCs w:val="21"/>
          <w:u w:val="none"/>
          <w:lang w:val="en-US" w:eastAsia="zh-CN" w:bidi="ar-SA"/>
        </w:rPr>
        <w:t>“十四五”时期，扶沟县深入践行新时代“枫桥经验”，不断完善社会治理体系，提升治理能力，有效防范化解各类风险隐患，维护了社会大局和谐稳定，为经济社会高质量发展提供了坚强保障。</w:t>
      </w:r>
      <w:r>
        <w:rPr>
          <w:rFonts w:hint="default" w:ascii="仿宋_GB2312" w:hAnsi="仿宋_GB2312" w:eastAsia="仿宋_GB2312" w:cs="仿宋_GB2312"/>
          <w:b/>
          <w:bCs/>
          <w:color w:val="auto"/>
          <w:kern w:val="2"/>
          <w:sz w:val="32"/>
          <w:szCs w:val="21"/>
          <w:u w:val="none"/>
          <w:lang w:val="en-US" w:eastAsia="zh-CN" w:bidi="ar-SA"/>
        </w:rPr>
        <w:t>法治建设深入推进。</w:t>
      </w:r>
      <w:r>
        <w:rPr>
          <w:rFonts w:hint="default" w:ascii="仿宋_GB2312" w:hAnsi="仿宋_GB2312" w:eastAsia="仿宋_GB2312" w:cs="仿宋_GB2312"/>
          <w:b w:val="0"/>
          <w:bCs w:val="0"/>
          <w:color w:val="auto"/>
          <w:kern w:val="2"/>
          <w:sz w:val="32"/>
          <w:szCs w:val="21"/>
          <w:u w:val="none"/>
          <w:lang w:val="en-US" w:eastAsia="zh-CN" w:bidi="ar-SA"/>
        </w:rPr>
        <w:t>扎实开展法治宣传教育，“八五”普法成效显著，群众法治意识和法治观念不断增强。深入推进依法行政，严格规范公正文明执法，完善行政执法责任制和过错追究制，法治政府建设水平持续提升。自觉接受人大法律监督、政协民主监督，畅通群众监督渠道，政务公开全面推进，权力运行更加规范透明。</w:t>
      </w:r>
      <w:r>
        <w:rPr>
          <w:rFonts w:hint="default" w:ascii="仿宋_GB2312" w:hAnsi="仿宋_GB2312" w:eastAsia="仿宋_GB2312" w:cs="仿宋_GB2312"/>
          <w:b/>
          <w:bCs/>
          <w:color w:val="auto"/>
          <w:kern w:val="2"/>
          <w:sz w:val="32"/>
          <w:szCs w:val="21"/>
          <w:u w:val="none"/>
          <w:lang w:val="en-US" w:eastAsia="zh-CN" w:bidi="ar-SA"/>
        </w:rPr>
        <w:t>社会治安持续向好。</w:t>
      </w:r>
      <w:r>
        <w:rPr>
          <w:rFonts w:hint="default" w:ascii="仿宋_GB2312" w:hAnsi="仿宋_GB2312" w:eastAsia="仿宋_GB2312" w:cs="仿宋_GB2312"/>
          <w:b w:val="0"/>
          <w:bCs w:val="0"/>
          <w:color w:val="auto"/>
          <w:kern w:val="2"/>
          <w:sz w:val="32"/>
          <w:szCs w:val="21"/>
          <w:u w:val="none"/>
          <w:lang w:val="en-US" w:eastAsia="zh-CN" w:bidi="ar-SA"/>
        </w:rPr>
        <w:t>加强社会治安防控体系建设，完善“人防、物防、技防”立体化防控网络，新建一批智能监控、电子警察、人像识别系统，社会治安防控智能化水平显著提升。常态化开展扫黑除恶斗争，依法严厉打击各类违法犯罪活动，2024年刑事、治安案件同比分别下降14.2%、10%，群众安全感显著增强。信访工作成效突出，信访总量、赴京访量同比分别下降9.2%、13%，矛盾纠纷多元化解机制不断完善，大量矛盾纠纷在基层得到妥善化解。</w:t>
      </w:r>
      <w:r>
        <w:rPr>
          <w:rFonts w:hint="default" w:ascii="仿宋_GB2312" w:hAnsi="仿宋_GB2312" w:eastAsia="仿宋_GB2312" w:cs="仿宋_GB2312"/>
          <w:b/>
          <w:bCs/>
          <w:color w:val="auto"/>
          <w:kern w:val="2"/>
          <w:sz w:val="32"/>
          <w:szCs w:val="21"/>
          <w:u w:val="none"/>
          <w:lang w:val="en-US" w:eastAsia="zh-CN" w:bidi="ar-SA"/>
        </w:rPr>
        <w:t>安全管理扎实有效。</w:t>
      </w:r>
      <w:r>
        <w:rPr>
          <w:rFonts w:hint="default" w:ascii="仿宋_GB2312" w:hAnsi="仿宋_GB2312" w:eastAsia="仿宋_GB2312" w:cs="仿宋_GB2312"/>
          <w:b w:val="0"/>
          <w:bCs w:val="0"/>
          <w:color w:val="auto"/>
          <w:kern w:val="2"/>
          <w:sz w:val="32"/>
          <w:szCs w:val="21"/>
          <w:u w:val="none"/>
          <w:lang w:val="en-US" w:eastAsia="zh-CN" w:bidi="ar-SA"/>
        </w:rPr>
        <w:t>深入推进安全生产治本攻坚三年行动，严格落实“三管三必须”，常态化抓好消防、城镇燃气、交通运输、建筑施工、危化品、住房建设等重点行业领域安全生产，有效遏制重特大安全事故发生。完善应急管理体系，加强应急救援队伍建设和应急物资储备，提升防灾减灾救灾能力，成功应对疫情、灾情等突发公共事件，保障了人民群众生命财产安全。平安村（社区）“三零”创建达标率达93.73%，安全生产形势总体稳定，为群众营造了安全、和谐、有序的生产生活环境。</w:t>
      </w:r>
    </w:p>
    <w:p w14:paraId="3C3602D3">
      <w:pPr>
        <w:pageBreakBefore w:val="0"/>
        <w:kinsoku/>
        <w:wordWrap/>
        <w:overflowPunct/>
        <w:topLinePunct w:val="0"/>
        <w:autoSpaceDE/>
        <w:bidi w:val="0"/>
        <w:adjustRightInd w:val="0"/>
        <w:snapToGrid w:val="0"/>
        <w:spacing w:line="560" w:lineRule="exact"/>
        <w:ind w:firstLine="640" w:firstLineChars="200"/>
        <w:textAlignment w:val="auto"/>
        <w:rPr>
          <w:rFonts w:hint="eastAsia" w:ascii="仿宋_GB2312" w:hAnsi="仿宋_GB2312" w:eastAsia="仿宋_GB2312" w:cs="仿宋_GB2312"/>
          <w:color w:val="auto"/>
          <w:kern w:val="2"/>
          <w:sz w:val="32"/>
          <w:szCs w:val="21"/>
          <w:u w:val="none"/>
          <w:lang w:val="en-US" w:eastAsia="zh-CN" w:bidi="ar-SA"/>
        </w:rPr>
      </w:pPr>
      <w:r>
        <w:rPr>
          <w:rFonts w:hint="eastAsia" w:ascii="仿宋_GB2312" w:hAnsi="仿宋_GB2312" w:eastAsia="仿宋_GB2312" w:cs="仿宋_GB2312"/>
          <w:color w:val="auto"/>
          <w:kern w:val="2"/>
          <w:sz w:val="32"/>
          <w:szCs w:val="21"/>
          <w:u w:val="none"/>
          <w:lang w:val="en-US" w:eastAsia="zh-CN" w:bidi="ar-SA"/>
        </w:rPr>
        <w:t>五年来，我们坚持以习近平新时代中国特色社会主义思想为指导，全面贯彻党的十九大、二十大和二十届历次全会精神，深入学习贯彻习近平总书记在河南考察时重要讲话精神和关于河南工作的重要论述，在省委省政府、市委市政府的坚强领导下，始终扛稳粮食安全和乡村振兴政治责任，坚定不移走农业强县、产业兴县发展之路，坚持规模扩张与质量提升并重、品牌塑造与链条延伸并举，全力推进农业现代化、产业集群化，闯出了一条特色产业引领与经济社会协同发展的“扶沟路径”，叫响了“全生态蔬菜之都”的金字品牌。实践证明，只要全县上下坚持以习近平新时代中国特色社会主义思想为指导，紧紧围绕县委、县政府的战略部署，瞄准高质量发展不动摇，持续全面强农业、兴工业、优生态、惠民生、聚人才、破瓶颈、增活力、促和谐，产业兴旺、生态优美、人民幸福的美丽扶沟必将加快建成，经济提质、社会安定、民生殷实的新蓝图一定能够实现。</w:t>
      </w:r>
    </w:p>
    <w:p w14:paraId="27B62C24">
      <w:pPr>
        <w:keepNext w:val="0"/>
        <w:keepLines w:val="0"/>
        <w:pageBreakBefore w:val="0"/>
        <w:widowControl w:val="0"/>
        <w:kinsoku/>
        <w:wordWrap/>
        <w:overflowPunct/>
        <w:topLinePunct w:val="0"/>
        <w:autoSpaceDE/>
        <w:autoSpaceDN/>
        <w:bidi w:val="0"/>
        <w:adjustRightInd w:val="0"/>
        <w:snapToGrid w:val="0"/>
        <w:spacing w:after="721" w:afterLines="200" w:line="560" w:lineRule="exact"/>
        <w:ind w:firstLine="640" w:firstLineChars="200"/>
        <w:textAlignment w:val="auto"/>
        <w:rPr>
          <w:rFonts w:hint="eastAsia" w:ascii="仿宋_GB2312" w:hAnsi="仿宋_GB2312" w:eastAsia="仿宋_GB2312" w:cs="仿宋_GB2312"/>
          <w:color w:val="auto"/>
          <w:kern w:val="2"/>
          <w:sz w:val="32"/>
          <w:szCs w:val="21"/>
          <w:u w:val="none"/>
          <w:lang w:val="en-US" w:eastAsia="zh-CN" w:bidi="ar-SA"/>
        </w:rPr>
      </w:pPr>
      <w:r>
        <w:rPr>
          <w:rFonts w:hint="eastAsia" w:ascii="仿宋_GB2312" w:hAnsi="仿宋_GB2312" w:eastAsia="仿宋_GB2312" w:cs="仿宋_GB2312"/>
          <w:color w:val="auto"/>
          <w:kern w:val="2"/>
          <w:sz w:val="32"/>
          <w:szCs w:val="21"/>
          <w:u w:val="none"/>
          <w:lang w:val="en-US" w:eastAsia="zh-CN" w:bidi="ar-SA"/>
        </w:rPr>
        <w:t>同时，也要清醒地认识到，我县发展不平衡不充分的问题仍较突出，短板弱项依然较多。</w:t>
      </w:r>
      <w:r>
        <w:rPr>
          <w:rFonts w:hint="eastAsia" w:ascii="仿宋_GB2312" w:hAnsi="仿宋_GB2312" w:eastAsia="仿宋_GB2312" w:cs="仿宋_GB2312"/>
          <w:b/>
          <w:bCs/>
          <w:color w:val="auto"/>
          <w:kern w:val="2"/>
          <w:sz w:val="32"/>
          <w:szCs w:val="21"/>
          <w:u w:val="none"/>
          <w:lang w:val="en-US" w:eastAsia="zh-CN" w:bidi="ar-SA"/>
        </w:rPr>
        <w:t>一是产业能级有待提升。</w:t>
      </w:r>
      <w:r>
        <w:rPr>
          <w:rFonts w:hint="eastAsia" w:ascii="仿宋_GB2312" w:hAnsi="仿宋_GB2312" w:eastAsia="仿宋_GB2312" w:cs="仿宋_GB2312"/>
          <w:color w:val="auto"/>
          <w:kern w:val="2"/>
          <w:sz w:val="32"/>
          <w:szCs w:val="21"/>
          <w:u w:val="none"/>
          <w:lang w:val="en-US" w:eastAsia="zh-CN" w:bidi="ar-SA"/>
        </w:rPr>
        <w:t>虽然蔬菜产业规模稳居全省首位，但精深加工转化不足，龙头企业带动作用有限，“专精特新”企业培育滞后，一二三产融合度不高，土地集约化利用不足、中小企业融资难等问题制约产业升级。二</w:t>
      </w:r>
      <w:r>
        <w:rPr>
          <w:rFonts w:hint="eastAsia" w:ascii="仿宋_GB2312" w:hAnsi="仿宋_GB2312" w:eastAsia="仿宋_GB2312" w:cs="仿宋_GB2312"/>
          <w:b/>
          <w:bCs/>
          <w:color w:val="auto"/>
          <w:kern w:val="2"/>
          <w:sz w:val="32"/>
          <w:szCs w:val="21"/>
          <w:u w:val="none"/>
          <w:lang w:val="en-US" w:eastAsia="zh-CN" w:bidi="ar-SA"/>
        </w:rPr>
        <w:t>是创新驱动支撑薄弱。</w:t>
      </w:r>
      <w:r>
        <w:rPr>
          <w:rFonts w:hint="eastAsia" w:ascii="仿宋_GB2312" w:hAnsi="仿宋_GB2312" w:eastAsia="仿宋_GB2312" w:cs="仿宋_GB2312"/>
          <w:color w:val="auto"/>
          <w:kern w:val="2"/>
          <w:sz w:val="32"/>
          <w:szCs w:val="21"/>
          <w:u w:val="none"/>
          <w:lang w:val="en-US" w:eastAsia="zh-CN" w:bidi="ar-SA"/>
        </w:rPr>
        <w:t>高新技术企业数量偏少，高端科技平台稀缺，育种研发、管理运营等专业人才匮乏，规上企业研发机构覆盖率低，智慧农业技术推广力度不足。</w:t>
      </w:r>
      <w:r>
        <w:rPr>
          <w:rFonts w:hint="eastAsia" w:ascii="仿宋_GB2312" w:hAnsi="仿宋_GB2312" w:eastAsia="仿宋_GB2312" w:cs="仿宋_GB2312"/>
          <w:b/>
          <w:bCs/>
          <w:color w:val="auto"/>
          <w:kern w:val="2"/>
          <w:sz w:val="32"/>
          <w:szCs w:val="21"/>
          <w:u w:val="none"/>
          <w:lang w:val="en-US" w:eastAsia="zh-CN" w:bidi="ar-SA"/>
        </w:rPr>
        <w:t>三是文旅资源开发尚浅。</w:t>
      </w:r>
      <w:r>
        <w:rPr>
          <w:rFonts w:hint="eastAsia" w:ascii="仿宋_GB2312" w:hAnsi="仿宋_GB2312" w:eastAsia="仿宋_GB2312" w:cs="仿宋_GB2312"/>
          <w:color w:val="auto"/>
          <w:kern w:val="2"/>
          <w:sz w:val="32"/>
          <w:szCs w:val="21"/>
          <w:u w:val="none"/>
          <w:lang w:val="en-US" w:eastAsia="zh-CN" w:bidi="ar-SA"/>
        </w:rPr>
        <w:t>我县拥有2200多年历史积淀，“三馆两园一故居”红色资源与“二程”理学文化底蕴深厚，但文旅资源开发层次较浅，业态模式单一，文化IP转化能力弱，未能形成规模化产业效应。</w:t>
      </w:r>
      <w:r>
        <w:rPr>
          <w:rFonts w:hint="eastAsia" w:ascii="仿宋_GB2312" w:hAnsi="仿宋_GB2312" w:eastAsia="仿宋_GB2312" w:cs="仿宋_GB2312"/>
          <w:b/>
          <w:bCs/>
          <w:color w:val="auto"/>
          <w:kern w:val="2"/>
          <w:sz w:val="32"/>
          <w:szCs w:val="21"/>
          <w:u w:val="none"/>
          <w:lang w:val="en-US" w:eastAsia="zh-CN" w:bidi="ar-SA"/>
        </w:rPr>
        <w:t>四是民生保障仍有短板。</w:t>
      </w:r>
      <w:r>
        <w:rPr>
          <w:rFonts w:hint="eastAsia" w:ascii="仿宋_GB2312" w:hAnsi="仿宋_GB2312" w:eastAsia="仿宋_GB2312" w:cs="仿宋_GB2312"/>
          <w:color w:val="auto"/>
          <w:kern w:val="2"/>
          <w:sz w:val="32"/>
          <w:szCs w:val="21"/>
          <w:u w:val="none"/>
          <w:lang w:val="en-US" w:eastAsia="zh-CN" w:bidi="ar-SA"/>
        </w:rPr>
        <w:t>城乡基础设施建设存在差距，优质公共服务资源分布不均，青壮年人才外流现象依然存在，养老、教育、医疗等领域仍有群众急难愁盼问题，民生福祉提升需持续加力。</w:t>
      </w:r>
      <w:r>
        <w:rPr>
          <w:rFonts w:hint="eastAsia" w:ascii="仿宋_GB2312" w:hAnsi="仿宋_GB2312" w:eastAsia="仿宋_GB2312" w:cs="仿宋_GB2312"/>
          <w:b/>
          <w:bCs/>
          <w:color w:val="auto"/>
          <w:kern w:val="2"/>
          <w:sz w:val="32"/>
          <w:szCs w:val="21"/>
          <w:u w:val="none"/>
          <w:lang w:val="en-US" w:eastAsia="zh-CN" w:bidi="ar-SA"/>
        </w:rPr>
        <w:t>五是治理效能亟需增强。</w:t>
      </w:r>
      <w:r>
        <w:rPr>
          <w:rFonts w:hint="eastAsia" w:ascii="仿宋_GB2312" w:hAnsi="仿宋_GB2312" w:eastAsia="仿宋_GB2312" w:cs="仿宋_GB2312"/>
          <w:color w:val="auto"/>
          <w:kern w:val="2"/>
          <w:sz w:val="32"/>
          <w:szCs w:val="21"/>
          <w:u w:val="none"/>
          <w:lang w:val="en-US" w:eastAsia="zh-CN" w:bidi="ar-SA"/>
        </w:rPr>
        <w:t>乡村治理精细化水平不高，营商环境优化仍需深化，法治政府、法治社会建设与产业发展需求还存在适配差距，社会治理现代化任重道远。</w:t>
      </w:r>
    </w:p>
    <w:p w14:paraId="660E105C">
      <w:pPr>
        <w:keepNext w:val="0"/>
        <w:keepLines w:val="0"/>
        <w:pageBreakBefore w:val="0"/>
        <w:widowControl w:val="0"/>
        <w:kinsoku/>
        <w:wordWrap/>
        <w:overflowPunct/>
        <w:topLinePunct w:val="0"/>
        <w:autoSpaceDE/>
        <w:autoSpaceDN/>
        <w:bidi w:val="0"/>
        <w:adjustRightInd w:val="0"/>
        <w:snapToGrid w:val="0"/>
        <w:spacing w:after="721" w:afterLines="200" w:line="560" w:lineRule="exact"/>
        <w:ind w:firstLine="640" w:firstLineChars="200"/>
        <w:textAlignment w:val="auto"/>
        <w:rPr>
          <w:rFonts w:hint="eastAsia" w:ascii="仿宋_GB2312" w:hAnsi="仿宋_GB2312" w:eastAsia="仿宋_GB2312" w:cs="仿宋_GB2312"/>
          <w:color w:val="auto"/>
          <w:kern w:val="2"/>
          <w:sz w:val="32"/>
          <w:szCs w:val="21"/>
          <w:u w:val="none"/>
          <w:lang w:val="en-US" w:eastAsia="zh-CN" w:bidi="ar-SA"/>
        </w:rPr>
      </w:pPr>
    </w:p>
    <w:tbl>
      <w:tblPr>
        <w:tblStyle w:val="21"/>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90"/>
        <w:gridCol w:w="2805"/>
        <w:gridCol w:w="930"/>
        <w:gridCol w:w="885"/>
        <w:gridCol w:w="915"/>
        <w:gridCol w:w="870"/>
        <w:gridCol w:w="900"/>
        <w:gridCol w:w="855"/>
      </w:tblGrid>
      <w:tr w14:paraId="1A8EA1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9450" w:type="dxa"/>
            <w:gridSpan w:val="8"/>
            <w:tcBorders>
              <w:tl2br w:val="nil"/>
              <w:tr2bl w:val="nil"/>
            </w:tcBorders>
            <w:vAlign w:val="center"/>
          </w:tcPr>
          <w:p w14:paraId="3D3315BC">
            <w:pPr>
              <w:pageBreakBefore w:val="0"/>
              <w:widowControl/>
              <w:kinsoku/>
              <w:wordWrap/>
              <w:overflowPunct/>
              <w:topLinePunct w:val="0"/>
              <w:autoSpaceDE/>
              <w:bidi w:val="0"/>
              <w:snapToGrid w:val="0"/>
              <w:spacing w:line="560" w:lineRule="exact"/>
              <w:jc w:val="center"/>
              <w:textAlignment w:val="auto"/>
              <w:rPr>
                <w:rFonts w:hint="eastAsia" w:ascii="仿宋" w:hAnsi="仿宋" w:eastAsia="仿宋" w:cs="仿宋"/>
                <w:b/>
                <w:bCs/>
                <w:color w:val="auto"/>
                <w:sz w:val="21"/>
                <w:szCs w:val="21"/>
                <w:lang w:val="en-US" w:eastAsia="zh-CN"/>
              </w:rPr>
            </w:pPr>
            <w:r>
              <w:rPr>
                <w:rFonts w:hint="eastAsia" w:ascii="楷体_GB2312" w:hAnsi="楷体_GB2312" w:eastAsia="楷体_GB2312" w:cs="楷体_GB2312"/>
                <w:b/>
                <w:bCs/>
                <w:color w:val="auto"/>
                <w:kern w:val="0"/>
                <w:sz w:val="28"/>
                <w:szCs w:val="24"/>
                <w:u w:val="none"/>
                <w:lang w:val="en-US" w:eastAsia="zh-CN" w:bidi="ar-SA"/>
              </w:rPr>
              <w:t>专栏1-1：“十四五”经济社会发展主要目标完成情况</w:t>
            </w:r>
          </w:p>
        </w:tc>
      </w:tr>
      <w:tr w14:paraId="14B589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4095" w:type="dxa"/>
            <w:gridSpan w:val="2"/>
            <w:vMerge w:val="restart"/>
            <w:tcBorders>
              <w:tl2br w:val="nil"/>
              <w:tr2bl w:val="nil"/>
            </w:tcBorders>
            <w:vAlign w:val="center"/>
          </w:tcPr>
          <w:p w14:paraId="63C75237">
            <w:pPr>
              <w:pStyle w:val="36"/>
              <w:widowControl w:val="0"/>
              <w:wordWrap/>
              <w:snapToGrid/>
              <w:spacing w:line="240" w:lineRule="auto"/>
              <w:jc w:val="center"/>
              <w:textAlignment w:val="auto"/>
              <w:rPr>
                <w:rFonts w:hint="eastAsia" w:ascii="仿宋" w:hAnsi="仿宋" w:eastAsia="仿宋" w:cs="仿宋"/>
                <w:b/>
                <w:bCs/>
                <w:color w:val="auto"/>
                <w:sz w:val="21"/>
                <w:szCs w:val="21"/>
              </w:rPr>
            </w:pPr>
            <w:r>
              <w:rPr>
                <w:rFonts w:hint="eastAsia" w:ascii="仿宋" w:hAnsi="仿宋" w:eastAsia="仿宋" w:cs="仿宋"/>
                <w:b/>
                <w:bCs/>
                <w:color w:val="auto"/>
                <w:sz w:val="21"/>
                <w:szCs w:val="21"/>
              </w:rPr>
              <w:t>指标（单位）</w:t>
            </w:r>
          </w:p>
        </w:tc>
        <w:tc>
          <w:tcPr>
            <w:tcW w:w="930" w:type="dxa"/>
            <w:vMerge w:val="restart"/>
            <w:tcBorders>
              <w:tl2br w:val="nil"/>
              <w:tr2bl w:val="nil"/>
            </w:tcBorders>
            <w:vAlign w:val="center"/>
          </w:tcPr>
          <w:p w14:paraId="5D88FAE6">
            <w:pPr>
              <w:pStyle w:val="36"/>
              <w:widowControl w:val="0"/>
              <w:wordWrap/>
              <w:snapToGrid/>
              <w:spacing w:line="240" w:lineRule="auto"/>
              <w:jc w:val="center"/>
              <w:textAlignment w:val="auto"/>
              <w:rPr>
                <w:rFonts w:hint="eastAsia" w:ascii="仿宋" w:hAnsi="仿宋" w:eastAsia="仿宋" w:cs="仿宋"/>
                <w:b/>
                <w:bCs/>
                <w:color w:val="auto"/>
                <w:sz w:val="21"/>
                <w:szCs w:val="21"/>
                <w:lang w:val="en-US" w:eastAsia="zh-CN"/>
              </w:rPr>
            </w:pPr>
            <w:r>
              <w:rPr>
                <w:rFonts w:hint="eastAsia" w:ascii="仿宋" w:hAnsi="仿宋" w:eastAsia="仿宋" w:cs="仿宋"/>
                <w:b/>
                <w:bCs/>
                <w:color w:val="auto"/>
                <w:sz w:val="21"/>
                <w:szCs w:val="21"/>
              </w:rPr>
              <w:t>2020年</w:t>
            </w:r>
            <w:r>
              <w:rPr>
                <w:rFonts w:hint="eastAsia" w:ascii="仿宋" w:hAnsi="仿宋" w:eastAsia="仿宋" w:cs="仿宋"/>
                <w:b/>
                <w:bCs/>
                <w:color w:val="auto"/>
                <w:sz w:val="21"/>
                <w:szCs w:val="21"/>
                <w:lang w:val="en-US" w:eastAsia="zh-CN"/>
              </w:rPr>
              <w:t>基数</w:t>
            </w:r>
          </w:p>
        </w:tc>
        <w:tc>
          <w:tcPr>
            <w:tcW w:w="1800" w:type="dxa"/>
            <w:gridSpan w:val="2"/>
            <w:tcBorders>
              <w:tl2br w:val="nil"/>
              <w:tr2bl w:val="nil"/>
            </w:tcBorders>
            <w:vAlign w:val="center"/>
          </w:tcPr>
          <w:p w14:paraId="1371BB2F">
            <w:pPr>
              <w:pStyle w:val="36"/>
              <w:widowControl w:val="0"/>
              <w:wordWrap/>
              <w:snapToGrid/>
              <w:spacing w:line="240" w:lineRule="auto"/>
              <w:jc w:val="center"/>
              <w:textAlignment w:val="auto"/>
              <w:rPr>
                <w:rFonts w:hint="default" w:ascii="仿宋" w:hAnsi="仿宋" w:eastAsia="仿宋" w:cs="仿宋"/>
                <w:b/>
                <w:bCs/>
                <w:color w:val="auto"/>
                <w:sz w:val="21"/>
                <w:szCs w:val="21"/>
                <w:highlight w:val="none"/>
                <w:lang w:val="en-US" w:eastAsia="zh-CN"/>
              </w:rPr>
            </w:pPr>
            <w:r>
              <w:rPr>
                <w:rFonts w:hint="eastAsia" w:ascii="仿宋" w:hAnsi="仿宋" w:eastAsia="仿宋" w:cs="仿宋"/>
                <w:b/>
                <w:bCs/>
                <w:color w:val="auto"/>
                <w:sz w:val="21"/>
                <w:szCs w:val="21"/>
                <w:highlight w:val="none"/>
                <w:lang w:eastAsia="zh-CN"/>
              </w:rPr>
              <w:t>“</w:t>
            </w:r>
            <w:r>
              <w:rPr>
                <w:rFonts w:hint="eastAsia" w:ascii="仿宋" w:hAnsi="仿宋" w:eastAsia="仿宋" w:cs="仿宋"/>
                <w:b/>
                <w:bCs/>
                <w:color w:val="auto"/>
                <w:sz w:val="21"/>
                <w:szCs w:val="21"/>
                <w:highlight w:val="none"/>
                <w:lang w:val="en-US" w:eastAsia="zh-CN"/>
              </w:rPr>
              <w:t>十四五</w:t>
            </w:r>
            <w:r>
              <w:rPr>
                <w:rFonts w:hint="eastAsia" w:ascii="仿宋" w:hAnsi="仿宋" w:eastAsia="仿宋" w:cs="仿宋"/>
                <w:b/>
                <w:bCs/>
                <w:color w:val="auto"/>
                <w:sz w:val="21"/>
                <w:szCs w:val="21"/>
                <w:highlight w:val="none"/>
                <w:lang w:eastAsia="zh-CN"/>
              </w:rPr>
              <w:t>”</w:t>
            </w:r>
            <w:r>
              <w:rPr>
                <w:rFonts w:hint="eastAsia" w:ascii="仿宋" w:hAnsi="仿宋" w:eastAsia="仿宋" w:cs="仿宋"/>
                <w:b/>
                <w:bCs/>
                <w:color w:val="auto"/>
                <w:sz w:val="21"/>
                <w:szCs w:val="21"/>
                <w:highlight w:val="none"/>
                <w:lang w:val="en-US" w:eastAsia="zh-CN"/>
              </w:rPr>
              <w:t>规划目标</w:t>
            </w:r>
          </w:p>
        </w:tc>
        <w:tc>
          <w:tcPr>
            <w:tcW w:w="1770" w:type="dxa"/>
            <w:gridSpan w:val="2"/>
            <w:tcBorders>
              <w:tl2br w:val="nil"/>
              <w:tr2bl w:val="nil"/>
            </w:tcBorders>
            <w:vAlign w:val="center"/>
          </w:tcPr>
          <w:p w14:paraId="6D4753A0">
            <w:pPr>
              <w:pStyle w:val="36"/>
              <w:widowControl w:val="0"/>
              <w:wordWrap/>
              <w:snapToGrid/>
              <w:spacing w:line="240" w:lineRule="auto"/>
              <w:jc w:val="center"/>
              <w:textAlignment w:val="auto"/>
              <w:rPr>
                <w:rFonts w:hint="default" w:ascii="仿宋" w:hAnsi="仿宋" w:eastAsia="仿宋" w:cs="仿宋"/>
                <w:b/>
                <w:bCs/>
                <w:color w:val="auto"/>
                <w:sz w:val="21"/>
                <w:szCs w:val="21"/>
                <w:highlight w:val="none"/>
                <w:lang w:val="en-US" w:eastAsia="zh-CN"/>
              </w:rPr>
            </w:pPr>
            <w:r>
              <w:rPr>
                <w:rFonts w:hint="eastAsia" w:ascii="仿宋" w:hAnsi="仿宋" w:eastAsia="仿宋" w:cs="仿宋"/>
                <w:b/>
                <w:bCs/>
                <w:color w:val="auto"/>
                <w:sz w:val="21"/>
                <w:szCs w:val="21"/>
                <w:highlight w:val="none"/>
                <w:lang w:eastAsia="zh-CN"/>
              </w:rPr>
              <w:t>“</w:t>
            </w:r>
            <w:r>
              <w:rPr>
                <w:rFonts w:hint="eastAsia" w:ascii="仿宋" w:hAnsi="仿宋" w:eastAsia="仿宋" w:cs="仿宋"/>
                <w:b/>
                <w:bCs/>
                <w:color w:val="auto"/>
                <w:sz w:val="21"/>
                <w:szCs w:val="21"/>
                <w:highlight w:val="none"/>
                <w:lang w:val="en-US" w:eastAsia="zh-CN"/>
              </w:rPr>
              <w:t>十四五</w:t>
            </w:r>
            <w:r>
              <w:rPr>
                <w:rFonts w:hint="eastAsia" w:ascii="仿宋" w:hAnsi="仿宋" w:eastAsia="仿宋" w:cs="仿宋"/>
                <w:b/>
                <w:bCs/>
                <w:color w:val="auto"/>
                <w:sz w:val="21"/>
                <w:szCs w:val="21"/>
                <w:highlight w:val="none"/>
                <w:lang w:eastAsia="zh-CN"/>
              </w:rPr>
              <w:t>”</w:t>
            </w:r>
            <w:r>
              <w:rPr>
                <w:rFonts w:hint="eastAsia" w:ascii="仿宋" w:hAnsi="仿宋" w:eastAsia="仿宋" w:cs="仿宋"/>
                <w:b/>
                <w:bCs/>
                <w:color w:val="auto"/>
                <w:sz w:val="21"/>
                <w:szCs w:val="21"/>
                <w:highlight w:val="none"/>
                <w:lang w:val="en-US" w:eastAsia="zh-CN"/>
              </w:rPr>
              <w:t>规划完成情况</w:t>
            </w:r>
          </w:p>
        </w:tc>
        <w:tc>
          <w:tcPr>
            <w:tcW w:w="855" w:type="dxa"/>
            <w:vMerge w:val="restart"/>
            <w:tcBorders>
              <w:tl2br w:val="nil"/>
              <w:tr2bl w:val="nil"/>
            </w:tcBorders>
            <w:vAlign w:val="center"/>
          </w:tcPr>
          <w:p w14:paraId="30C2D071">
            <w:pPr>
              <w:pStyle w:val="36"/>
              <w:widowControl w:val="0"/>
              <w:wordWrap/>
              <w:snapToGrid/>
              <w:spacing w:line="240" w:lineRule="auto"/>
              <w:jc w:val="center"/>
              <w:textAlignment w:val="auto"/>
              <w:rPr>
                <w:rFonts w:hint="eastAsia" w:ascii="仿宋" w:hAnsi="仿宋" w:eastAsia="仿宋" w:cs="仿宋"/>
                <w:b/>
                <w:bCs/>
                <w:color w:val="auto"/>
                <w:sz w:val="21"/>
                <w:szCs w:val="21"/>
                <w:highlight w:val="none"/>
                <w:lang w:val="en-US" w:eastAsia="zh-CN"/>
              </w:rPr>
            </w:pPr>
            <w:r>
              <w:rPr>
                <w:rFonts w:hint="eastAsia" w:ascii="仿宋" w:hAnsi="仿宋" w:eastAsia="仿宋" w:cs="仿宋"/>
                <w:b/>
                <w:bCs/>
                <w:color w:val="auto"/>
                <w:sz w:val="21"/>
                <w:szCs w:val="21"/>
                <w:highlight w:val="none"/>
                <w:lang w:val="en-US" w:eastAsia="zh-CN"/>
              </w:rPr>
              <w:t>属性</w:t>
            </w:r>
          </w:p>
        </w:tc>
      </w:tr>
      <w:tr w14:paraId="4CD68C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4095" w:type="dxa"/>
            <w:gridSpan w:val="2"/>
            <w:vMerge w:val="continue"/>
            <w:tcBorders>
              <w:tl2br w:val="nil"/>
              <w:tr2bl w:val="nil"/>
            </w:tcBorders>
            <w:vAlign w:val="center"/>
          </w:tcPr>
          <w:p w14:paraId="515D1848">
            <w:pPr>
              <w:pStyle w:val="36"/>
              <w:widowControl w:val="0"/>
              <w:wordWrap/>
              <w:snapToGrid/>
              <w:spacing w:line="240" w:lineRule="auto"/>
              <w:jc w:val="center"/>
              <w:textAlignment w:val="auto"/>
              <w:rPr>
                <w:rFonts w:hint="eastAsia" w:ascii="仿宋" w:hAnsi="仿宋" w:eastAsia="仿宋" w:cs="仿宋"/>
                <w:b/>
                <w:bCs/>
                <w:color w:val="auto"/>
                <w:sz w:val="21"/>
                <w:szCs w:val="21"/>
              </w:rPr>
            </w:pPr>
          </w:p>
        </w:tc>
        <w:tc>
          <w:tcPr>
            <w:tcW w:w="930" w:type="dxa"/>
            <w:vMerge w:val="continue"/>
            <w:tcBorders>
              <w:tl2br w:val="nil"/>
              <w:tr2bl w:val="nil"/>
            </w:tcBorders>
            <w:vAlign w:val="center"/>
          </w:tcPr>
          <w:p w14:paraId="4FE0300D">
            <w:pPr>
              <w:pStyle w:val="36"/>
              <w:widowControl w:val="0"/>
              <w:wordWrap/>
              <w:snapToGrid/>
              <w:spacing w:line="240" w:lineRule="auto"/>
              <w:jc w:val="center"/>
              <w:textAlignment w:val="auto"/>
              <w:rPr>
                <w:rFonts w:hint="eastAsia" w:ascii="仿宋" w:hAnsi="仿宋" w:eastAsia="仿宋" w:cs="仿宋"/>
                <w:b/>
                <w:bCs/>
                <w:color w:val="auto"/>
                <w:sz w:val="21"/>
                <w:szCs w:val="21"/>
                <w:lang w:val="en-US" w:eastAsia="zh-CN"/>
              </w:rPr>
            </w:pPr>
          </w:p>
        </w:tc>
        <w:tc>
          <w:tcPr>
            <w:tcW w:w="885" w:type="dxa"/>
            <w:tcBorders>
              <w:tl2br w:val="nil"/>
              <w:tr2bl w:val="nil"/>
            </w:tcBorders>
            <w:vAlign w:val="center"/>
          </w:tcPr>
          <w:p w14:paraId="4973404D">
            <w:pPr>
              <w:pStyle w:val="36"/>
              <w:widowControl w:val="0"/>
              <w:wordWrap/>
              <w:snapToGrid/>
              <w:spacing w:line="240" w:lineRule="auto"/>
              <w:jc w:val="center"/>
              <w:textAlignment w:val="auto"/>
              <w:rPr>
                <w:rFonts w:hint="eastAsia" w:ascii="仿宋" w:hAnsi="仿宋" w:eastAsia="仿宋" w:cs="仿宋"/>
                <w:b/>
                <w:bCs/>
                <w:color w:val="auto"/>
                <w:sz w:val="21"/>
                <w:szCs w:val="21"/>
                <w:highlight w:val="none"/>
                <w:lang w:val="en-US" w:eastAsia="zh-CN"/>
              </w:rPr>
            </w:pPr>
            <w:r>
              <w:rPr>
                <w:rFonts w:hint="eastAsia" w:ascii="仿宋" w:hAnsi="仿宋" w:eastAsia="仿宋" w:cs="仿宋"/>
                <w:b/>
                <w:bCs/>
                <w:color w:val="auto"/>
                <w:sz w:val="21"/>
                <w:szCs w:val="21"/>
                <w:highlight w:val="none"/>
              </w:rPr>
              <w:t>2025年</w:t>
            </w:r>
            <w:r>
              <w:rPr>
                <w:rFonts w:hint="eastAsia" w:ascii="仿宋" w:hAnsi="仿宋" w:eastAsia="仿宋" w:cs="仿宋"/>
                <w:b/>
                <w:bCs/>
                <w:color w:val="auto"/>
                <w:sz w:val="21"/>
                <w:szCs w:val="21"/>
                <w:highlight w:val="none"/>
                <w:lang w:val="en-US" w:eastAsia="zh-CN"/>
              </w:rPr>
              <w:t>目标</w:t>
            </w:r>
          </w:p>
        </w:tc>
        <w:tc>
          <w:tcPr>
            <w:tcW w:w="915" w:type="dxa"/>
            <w:tcBorders>
              <w:tl2br w:val="nil"/>
              <w:tr2bl w:val="nil"/>
            </w:tcBorders>
            <w:vAlign w:val="center"/>
          </w:tcPr>
          <w:p w14:paraId="2519FEA3">
            <w:pPr>
              <w:pStyle w:val="36"/>
              <w:widowControl w:val="0"/>
              <w:wordWrap/>
              <w:snapToGrid/>
              <w:spacing w:line="240" w:lineRule="auto"/>
              <w:jc w:val="center"/>
              <w:textAlignment w:val="auto"/>
              <w:rPr>
                <w:rFonts w:hint="default" w:ascii="仿宋" w:hAnsi="仿宋" w:eastAsia="仿宋" w:cs="仿宋"/>
                <w:b/>
                <w:bCs/>
                <w:color w:val="auto"/>
                <w:sz w:val="21"/>
                <w:szCs w:val="21"/>
                <w:highlight w:val="none"/>
                <w:lang w:val="en-US" w:eastAsia="zh-CN"/>
              </w:rPr>
            </w:pPr>
            <w:r>
              <w:rPr>
                <w:rFonts w:hint="eastAsia" w:ascii="仿宋" w:hAnsi="仿宋" w:eastAsia="仿宋" w:cs="仿宋"/>
                <w:b/>
                <w:bCs/>
                <w:color w:val="auto"/>
                <w:sz w:val="21"/>
                <w:szCs w:val="21"/>
                <w:highlight w:val="none"/>
                <w:lang w:val="en-US" w:eastAsia="zh-CN"/>
              </w:rPr>
              <w:t>五年</w:t>
            </w:r>
            <w:r>
              <w:rPr>
                <w:rFonts w:hint="eastAsia" w:ascii="仿宋" w:hAnsi="仿宋" w:eastAsia="仿宋" w:cs="仿宋"/>
                <w:b/>
                <w:bCs/>
                <w:color w:val="auto"/>
                <w:sz w:val="21"/>
                <w:szCs w:val="21"/>
                <w:highlight w:val="none"/>
              </w:rPr>
              <w:t>年均增速</w:t>
            </w:r>
            <w:r>
              <w:rPr>
                <w:rFonts w:hint="eastAsia" w:ascii="仿宋" w:hAnsi="仿宋" w:eastAsia="仿宋" w:cs="仿宋"/>
                <w:b/>
                <w:bCs/>
                <w:color w:val="auto"/>
                <w:sz w:val="21"/>
                <w:szCs w:val="21"/>
                <w:highlight w:val="none"/>
                <w:lang w:val="en-US" w:eastAsia="zh-CN"/>
              </w:rPr>
              <w:t>或累计</w:t>
            </w:r>
          </w:p>
        </w:tc>
        <w:tc>
          <w:tcPr>
            <w:tcW w:w="870" w:type="dxa"/>
            <w:tcBorders>
              <w:tl2br w:val="nil"/>
              <w:tr2bl w:val="nil"/>
            </w:tcBorders>
            <w:vAlign w:val="center"/>
          </w:tcPr>
          <w:p w14:paraId="156A8218">
            <w:pPr>
              <w:pStyle w:val="36"/>
              <w:widowControl w:val="0"/>
              <w:wordWrap/>
              <w:snapToGrid/>
              <w:spacing w:line="240" w:lineRule="auto"/>
              <w:jc w:val="center"/>
              <w:textAlignment w:val="auto"/>
              <w:rPr>
                <w:rFonts w:hint="default" w:ascii="仿宋" w:hAnsi="仿宋" w:eastAsia="仿宋" w:cs="仿宋"/>
                <w:b/>
                <w:bCs/>
                <w:color w:val="auto"/>
                <w:sz w:val="21"/>
                <w:szCs w:val="21"/>
                <w:highlight w:val="none"/>
                <w:lang w:val="en-US" w:eastAsia="zh-CN"/>
              </w:rPr>
            </w:pPr>
            <w:r>
              <w:rPr>
                <w:rFonts w:hint="eastAsia" w:ascii="仿宋" w:hAnsi="仿宋" w:eastAsia="仿宋" w:cs="仿宋"/>
                <w:b/>
                <w:bCs/>
                <w:color w:val="auto"/>
                <w:sz w:val="21"/>
                <w:szCs w:val="21"/>
                <w:highlight w:val="none"/>
                <w:lang w:val="en-US" w:eastAsia="zh-CN"/>
              </w:rPr>
              <w:t>2025年</w:t>
            </w:r>
          </w:p>
        </w:tc>
        <w:tc>
          <w:tcPr>
            <w:tcW w:w="900" w:type="dxa"/>
            <w:tcBorders>
              <w:tl2br w:val="nil"/>
              <w:tr2bl w:val="nil"/>
            </w:tcBorders>
            <w:vAlign w:val="center"/>
          </w:tcPr>
          <w:p w14:paraId="6D915221">
            <w:pPr>
              <w:pStyle w:val="36"/>
              <w:widowControl w:val="0"/>
              <w:wordWrap/>
              <w:snapToGrid/>
              <w:spacing w:line="240" w:lineRule="auto"/>
              <w:jc w:val="center"/>
              <w:textAlignment w:val="auto"/>
              <w:rPr>
                <w:rFonts w:hint="eastAsia" w:ascii="仿宋" w:hAnsi="仿宋" w:eastAsia="仿宋" w:cs="仿宋"/>
                <w:b/>
                <w:bCs/>
                <w:color w:val="auto"/>
                <w:sz w:val="21"/>
                <w:szCs w:val="21"/>
                <w:highlight w:val="none"/>
              </w:rPr>
            </w:pPr>
            <w:r>
              <w:rPr>
                <w:rFonts w:hint="eastAsia" w:ascii="仿宋" w:hAnsi="仿宋" w:eastAsia="仿宋" w:cs="仿宋"/>
                <w:b/>
                <w:bCs/>
                <w:color w:val="auto"/>
                <w:sz w:val="21"/>
                <w:szCs w:val="21"/>
                <w:highlight w:val="none"/>
                <w:lang w:val="en-US" w:eastAsia="zh-CN"/>
              </w:rPr>
              <w:t>五年</w:t>
            </w:r>
            <w:r>
              <w:rPr>
                <w:rFonts w:hint="eastAsia" w:ascii="仿宋" w:hAnsi="仿宋" w:eastAsia="仿宋" w:cs="仿宋"/>
                <w:b/>
                <w:bCs/>
                <w:color w:val="auto"/>
                <w:sz w:val="21"/>
                <w:szCs w:val="21"/>
                <w:highlight w:val="none"/>
              </w:rPr>
              <w:t>年均增速</w:t>
            </w:r>
            <w:r>
              <w:rPr>
                <w:rFonts w:hint="eastAsia" w:ascii="仿宋" w:hAnsi="仿宋" w:eastAsia="仿宋" w:cs="仿宋"/>
                <w:b/>
                <w:bCs/>
                <w:color w:val="auto"/>
                <w:sz w:val="21"/>
                <w:szCs w:val="21"/>
                <w:highlight w:val="none"/>
                <w:lang w:val="en-US" w:eastAsia="zh-CN"/>
              </w:rPr>
              <w:t>或累计</w:t>
            </w:r>
          </w:p>
        </w:tc>
        <w:tc>
          <w:tcPr>
            <w:tcW w:w="855" w:type="dxa"/>
            <w:vMerge w:val="continue"/>
            <w:tcBorders>
              <w:tl2br w:val="nil"/>
              <w:tr2bl w:val="nil"/>
            </w:tcBorders>
            <w:vAlign w:val="center"/>
          </w:tcPr>
          <w:p w14:paraId="4B485224">
            <w:pPr>
              <w:pStyle w:val="36"/>
              <w:widowControl w:val="0"/>
              <w:wordWrap/>
              <w:snapToGrid/>
              <w:spacing w:line="240" w:lineRule="auto"/>
              <w:jc w:val="center"/>
              <w:textAlignment w:val="auto"/>
              <w:rPr>
                <w:rFonts w:hint="eastAsia" w:ascii="仿宋" w:hAnsi="仿宋" w:eastAsia="仿宋" w:cs="仿宋"/>
                <w:b/>
                <w:bCs/>
                <w:color w:val="auto"/>
                <w:sz w:val="21"/>
                <w:szCs w:val="21"/>
                <w:highlight w:val="none"/>
              </w:rPr>
            </w:pPr>
          </w:p>
        </w:tc>
      </w:tr>
      <w:tr w14:paraId="75CD59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50" w:type="dxa"/>
            <w:gridSpan w:val="8"/>
            <w:tcBorders>
              <w:tl2br w:val="nil"/>
              <w:tr2bl w:val="nil"/>
            </w:tcBorders>
            <w:vAlign w:val="center"/>
          </w:tcPr>
          <w:p w14:paraId="6CEFA3DF">
            <w:pPr>
              <w:pStyle w:val="36"/>
              <w:widowControl w:val="0"/>
              <w:wordWrap/>
              <w:snapToGrid/>
              <w:spacing w:line="240" w:lineRule="auto"/>
              <w:jc w:val="center"/>
              <w:textAlignment w:val="auto"/>
              <w:rPr>
                <w:rFonts w:hint="eastAsia" w:ascii="仿宋" w:hAnsi="仿宋" w:eastAsia="仿宋" w:cs="仿宋"/>
                <w:b/>
                <w:bCs/>
                <w:color w:val="auto"/>
                <w:sz w:val="21"/>
                <w:szCs w:val="21"/>
                <w:highlight w:val="none"/>
                <w:lang w:val="en-US" w:eastAsia="zh-CN"/>
              </w:rPr>
            </w:pPr>
            <w:r>
              <w:rPr>
                <w:rFonts w:hint="eastAsia" w:ascii="仿宋" w:hAnsi="仿宋" w:eastAsia="仿宋" w:cs="仿宋"/>
                <w:b/>
                <w:bCs/>
                <w:color w:val="auto"/>
                <w:sz w:val="21"/>
                <w:szCs w:val="21"/>
                <w:highlight w:val="none"/>
                <w:lang w:val="en-US" w:eastAsia="zh-CN"/>
              </w:rPr>
              <w:t>一、</w:t>
            </w:r>
            <w:r>
              <w:rPr>
                <w:rFonts w:hint="eastAsia" w:ascii="仿宋" w:hAnsi="仿宋" w:eastAsia="仿宋" w:cs="仿宋"/>
                <w:b/>
                <w:bCs/>
                <w:color w:val="auto"/>
                <w:sz w:val="21"/>
                <w:szCs w:val="21"/>
                <w:highlight w:val="none"/>
              </w:rPr>
              <w:t>经济发展</w:t>
            </w:r>
          </w:p>
        </w:tc>
      </w:tr>
      <w:tr w14:paraId="450245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4095" w:type="dxa"/>
            <w:gridSpan w:val="2"/>
            <w:tcBorders>
              <w:tl2br w:val="nil"/>
              <w:tr2bl w:val="nil"/>
            </w:tcBorders>
            <w:vAlign w:val="center"/>
          </w:tcPr>
          <w:p w14:paraId="3140A8B6">
            <w:pPr>
              <w:pStyle w:val="36"/>
              <w:widowControl w:val="0"/>
              <w:wordWrap/>
              <w:snapToGrid/>
              <w:spacing w:line="240" w:lineRule="auto"/>
              <w:jc w:val="left"/>
              <w:textAlignment w:val="auto"/>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1.地区生产总值增速</w:t>
            </w:r>
            <w:r>
              <w:rPr>
                <w:rFonts w:hint="eastAsia" w:ascii="仿宋" w:hAnsi="仿宋" w:eastAsia="仿宋" w:cs="仿宋"/>
                <w:color w:val="auto"/>
                <w:sz w:val="21"/>
                <w:szCs w:val="21"/>
              </w:rPr>
              <w:t>（%）</w:t>
            </w:r>
          </w:p>
        </w:tc>
        <w:tc>
          <w:tcPr>
            <w:tcW w:w="930" w:type="dxa"/>
            <w:tcBorders>
              <w:tl2br w:val="nil"/>
              <w:tr2bl w:val="nil"/>
            </w:tcBorders>
            <w:vAlign w:val="center"/>
          </w:tcPr>
          <w:p w14:paraId="15C2C528">
            <w:pPr>
              <w:pStyle w:val="36"/>
              <w:widowControl w:val="0"/>
              <w:wordWrap/>
              <w:snapToGrid/>
              <w:spacing w:line="240" w:lineRule="auto"/>
              <w:jc w:val="center"/>
              <w:textAlignment w:val="auto"/>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1.8</w:t>
            </w:r>
          </w:p>
        </w:tc>
        <w:tc>
          <w:tcPr>
            <w:tcW w:w="885" w:type="dxa"/>
            <w:tcBorders>
              <w:tl2br w:val="nil"/>
              <w:tr2bl w:val="nil"/>
            </w:tcBorders>
            <w:vAlign w:val="center"/>
          </w:tcPr>
          <w:p w14:paraId="5CDD4180">
            <w:pPr>
              <w:pStyle w:val="36"/>
              <w:widowControl w:val="0"/>
              <w:wordWrap/>
              <w:snapToGrid/>
              <w:spacing w:line="240" w:lineRule="auto"/>
              <w:jc w:val="center"/>
              <w:textAlignment w:val="auto"/>
              <w:rPr>
                <w:rFonts w:hint="eastAsia" w:ascii="仿宋" w:hAnsi="仿宋" w:eastAsia="仿宋" w:cs="仿宋"/>
                <w:color w:val="auto"/>
                <w:sz w:val="21"/>
                <w:szCs w:val="21"/>
                <w:highlight w:val="none"/>
                <w:lang w:eastAsia="zh-CN"/>
              </w:rPr>
            </w:pPr>
            <w:r>
              <w:rPr>
                <w:rFonts w:hint="eastAsia" w:ascii="仿宋_GB2312" w:eastAsia="仿宋_GB2312"/>
                <w:color w:val="auto"/>
                <w:kern w:val="2"/>
                <w:sz w:val="21"/>
                <w:szCs w:val="22"/>
                <w:highlight w:val="none"/>
                <w:lang w:val="en-US" w:eastAsia="zh-CN" w:bidi="ar-SA"/>
              </w:rPr>
              <w:t>-</w:t>
            </w:r>
          </w:p>
        </w:tc>
        <w:tc>
          <w:tcPr>
            <w:tcW w:w="915" w:type="dxa"/>
            <w:tcBorders>
              <w:tl2br w:val="nil"/>
              <w:tr2bl w:val="nil"/>
            </w:tcBorders>
            <w:vAlign w:val="center"/>
          </w:tcPr>
          <w:p w14:paraId="0F8B48F1">
            <w:pPr>
              <w:pStyle w:val="36"/>
              <w:widowControl w:val="0"/>
              <w:wordWrap/>
              <w:snapToGrid/>
              <w:spacing w:line="240" w:lineRule="auto"/>
              <w:jc w:val="center"/>
              <w:textAlignment w:val="auto"/>
              <w:rPr>
                <w:rFonts w:hint="default"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9.0以上</w:t>
            </w:r>
          </w:p>
        </w:tc>
        <w:tc>
          <w:tcPr>
            <w:tcW w:w="870" w:type="dxa"/>
            <w:tcBorders>
              <w:tl2br w:val="nil"/>
              <w:tr2bl w:val="nil"/>
            </w:tcBorders>
            <w:vAlign w:val="center"/>
          </w:tcPr>
          <w:p w14:paraId="435C6A8E">
            <w:pPr>
              <w:pStyle w:val="36"/>
              <w:widowControl w:val="0"/>
              <w:wordWrap/>
              <w:snapToGrid/>
              <w:spacing w:line="240" w:lineRule="auto"/>
              <w:jc w:val="center"/>
              <w:textAlignment w:val="auto"/>
              <w:rPr>
                <w:rFonts w:hint="default"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6.8</w:t>
            </w:r>
          </w:p>
        </w:tc>
        <w:tc>
          <w:tcPr>
            <w:tcW w:w="900" w:type="dxa"/>
            <w:tcBorders>
              <w:tl2br w:val="nil"/>
              <w:tr2bl w:val="nil"/>
            </w:tcBorders>
            <w:vAlign w:val="center"/>
          </w:tcPr>
          <w:p w14:paraId="2918AEF4">
            <w:pPr>
              <w:pStyle w:val="36"/>
              <w:widowControl w:val="0"/>
              <w:wordWrap/>
              <w:snapToGrid/>
              <w:spacing w:line="240" w:lineRule="auto"/>
              <w:jc w:val="center"/>
              <w:textAlignment w:val="auto"/>
              <w:rPr>
                <w:rFonts w:hint="default"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6.6</w:t>
            </w:r>
          </w:p>
        </w:tc>
        <w:tc>
          <w:tcPr>
            <w:tcW w:w="855" w:type="dxa"/>
            <w:tcBorders>
              <w:tl2br w:val="nil"/>
              <w:tr2bl w:val="nil"/>
            </w:tcBorders>
            <w:vAlign w:val="center"/>
          </w:tcPr>
          <w:p w14:paraId="27BD89DE">
            <w:pPr>
              <w:pStyle w:val="36"/>
              <w:widowControl w:val="0"/>
              <w:wordWrap/>
              <w:snapToGrid/>
              <w:spacing w:line="240" w:lineRule="auto"/>
              <w:jc w:val="center"/>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预期性</w:t>
            </w:r>
          </w:p>
        </w:tc>
      </w:tr>
      <w:tr w14:paraId="3E66EF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7" w:hRule="atLeast"/>
          <w:jc w:val="center"/>
        </w:trPr>
        <w:tc>
          <w:tcPr>
            <w:tcW w:w="4095" w:type="dxa"/>
            <w:gridSpan w:val="2"/>
            <w:tcBorders>
              <w:tl2br w:val="nil"/>
              <w:tr2bl w:val="nil"/>
            </w:tcBorders>
            <w:vAlign w:val="center"/>
          </w:tcPr>
          <w:p w14:paraId="24D88413">
            <w:pPr>
              <w:pStyle w:val="36"/>
              <w:widowControl w:val="0"/>
              <w:wordWrap/>
              <w:snapToGrid/>
              <w:spacing w:line="240" w:lineRule="auto"/>
              <w:jc w:val="left"/>
              <w:textAlignment w:val="auto"/>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2.</w:t>
            </w:r>
            <w:r>
              <w:rPr>
                <w:rFonts w:hint="eastAsia" w:ascii="仿宋" w:hAnsi="仿宋" w:eastAsia="仿宋" w:cs="仿宋"/>
                <w:color w:val="auto"/>
                <w:sz w:val="21"/>
                <w:szCs w:val="21"/>
              </w:rPr>
              <w:t>全员劳动生产率</w:t>
            </w:r>
            <w:r>
              <w:rPr>
                <w:rFonts w:hint="eastAsia" w:ascii="仿宋" w:hAnsi="仿宋" w:eastAsia="仿宋" w:cs="仿宋"/>
                <w:color w:val="auto"/>
                <w:sz w:val="21"/>
                <w:szCs w:val="21"/>
                <w:lang w:val="en-US" w:eastAsia="zh-CN"/>
              </w:rPr>
              <w:t>增长</w:t>
            </w:r>
            <w:r>
              <w:rPr>
                <w:rFonts w:hint="eastAsia" w:ascii="仿宋" w:hAnsi="仿宋" w:eastAsia="仿宋" w:cs="仿宋"/>
                <w:color w:val="auto"/>
                <w:sz w:val="21"/>
                <w:szCs w:val="21"/>
                <w:lang w:eastAsia="zh-CN"/>
              </w:rPr>
              <w:t>（</w:t>
            </w:r>
            <w:r>
              <w:rPr>
                <w:rFonts w:hint="eastAsia" w:ascii="仿宋" w:hAnsi="仿宋" w:eastAsia="仿宋" w:cs="仿宋"/>
                <w:color w:val="auto"/>
                <w:sz w:val="21"/>
                <w:szCs w:val="21"/>
                <w:lang w:val="en-US" w:eastAsia="zh-CN"/>
              </w:rPr>
              <w:t>%</w:t>
            </w:r>
            <w:r>
              <w:rPr>
                <w:rFonts w:hint="eastAsia" w:ascii="仿宋" w:hAnsi="仿宋" w:eastAsia="仿宋" w:cs="仿宋"/>
                <w:color w:val="auto"/>
                <w:sz w:val="21"/>
                <w:szCs w:val="21"/>
                <w:lang w:eastAsia="zh-CN"/>
              </w:rPr>
              <w:t>）</w:t>
            </w:r>
          </w:p>
        </w:tc>
        <w:tc>
          <w:tcPr>
            <w:tcW w:w="930" w:type="dxa"/>
            <w:tcBorders>
              <w:tl2br w:val="nil"/>
              <w:tr2bl w:val="nil"/>
            </w:tcBorders>
            <w:vAlign w:val="center"/>
          </w:tcPr>
          <w:p w14:paraId="5D26E0EC">
            <w:pPr>
              <w:pStyle w:val="36"/>
              <w:widowControl w:val="0"/>
              <w:wordWrap/>
              <w:snapToGrid/>
              <w:spacing w:line="240" w:lineRule="auto"/>
              <w:jc w:val="center"/>
              <w:textAlignment w:val="auto"/>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6.7</w:t>
            </w:r>
          </w:p>
        </w:tc>
        <w:tc>
          <w:tcPr>
            <w:tcW w:w="885" w:type="dxa"/>
            <w:tcBorders>
              <w:tl2br w:val="nil"/>
              <w:tr2bl w:val="nil"/>
            </w:tcBorders>
            <w:vAlign w:val="center"/>
          </w:tcPr>
          <w:p w14:paraId="6190A0D5">
            <w:pPr>
              <w:pStyle w:val="36"/>
              <w:widowControl w:val="0"/>
              <w:wordWrap/>
              <w:snapToGrid/>
              <w:spacing w:line="240" w:lineRule="auto"/>
              <w:jc w:val="center"/>
              <w:textAlignment w:val="auto"/>
              <w:rPr>
                <w:rFonts w:hint="default" w:ascii="仿宋" w:hAnsi="仿宋" w:eastAsia="仿宋" w:cs="仿宋"/>
                <w:color w:val="auto"/>
                <w:sz w:val="21"/>
                <w:szCs w:val="21"/>
                <w:highlight w:val="none"/>
                <w:lang w:val="en-US" w:eastAsia="zh-CN"/>
              </w:rPr>
            </w:pPr>
            <w:r>
              <w:rPr>
                <w:rFonts w:hint="eastAsia" w:ascii="仿宋_GB2312" w:eastAsia="仿宋_GB2312"/>
                <w:color w:val="auto"/>
                <w:kern w:val="2"/>
                <w:sz w:val="21"/>
                <w:szCs w:val="22"/>
                <w:highlight w:val="none"/>
                <w:lang w:val="en-US" w:eastAsia="zh-CN" w:bidi="ar-SA"/>
              </w:rPr>
              <w:t>-</w:t>
            </w:r>
          </w:p>
        </w:tc>
        <w:tc>
          <w:tcPr>
            <w:tcW w:w="915" w:type="dxa"/>
            <w:tcBorders>
              <w:tl2br w:val="nil"/>
              <w:tr2bl w:val="nil"/>
            </w:tcBorders>
            <w:vAlign w:val="center"/>
          </w:tcPr>
          <w:p w14:paraId="212FC003">
            <w:pPr>
              <w:pStyle w:val="36"/>
              <w:widowControl w:val="0"/>
              <w:wordWrap/>
              <w:snapToGrid/>
              <w:spacing w:line="240" w:lineRule="auto"/>
              <w:jc w:val="center"/>
              <w:textAlignment w:val="auto"/>
              <w:rPr>
                <w:rFonts w:hint="default"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&gt;5.5</w:t>
            </w:r>
          </w:p>
        </w:tc>
        <w:tc>
          <w:tcPr>
            <w:tcW w:w="870" w:type="dxa"/>
            <w:tcBorders>
              <w:tl2br w:val="nil"/>
              <w:tr2bl w:val="nil"/>
            </w:tcBorders>
            <w:vAlign w:val="center"/>
          </w:tcPr>
          <w:p w14:paraId="40B301EB">
            <w:pPr>
              <w:widowControl w:val="0"/>
              <w:wordWrap/>
              <w:snapToGrid/>
              <w:spacing w:line="240" w:lineRule="auto"/>
              <w:jc w:val="center"/>
              <w:textAlignment w:val="auto"/>
              <w:rPr>
                <w:rFonts w:hint="eastAsia" w:ascii="仿宋" w:hAnsi="仿宋" w:eastAsia="仿宋" w:cs="仿宋"/>
                <w:color w:val="auto"/>
                <w:sz w:val="21"/>
                <w:szCs w:val="21"/>
                <w:highlight w:val="none"/>
                <w:lang w:val="en-US" w:eastAsia="zh-CN"/>
              </w:rPr>
            </w:pPr>
            <w:r>
              <w:rPr>
                <w:rFonts w:hint="eastAsia" w:ascii="仿宋_GB2312" w:eastAsia="仿宋_GB2312"/>
                <w:color w:val="auto"/>
                <w:kern w:val="2"/>
                <w:sz w:val="21"/>
                <w:szCs w:val="22"/>
                <w:highlight w:val="none"/>
                <w:lang w:val="en-US" w:eastAsia="zh-CN" w:bidi="ar-SA"/>
              </w:rPr>
              <w:t>-</w:t>
            </w:r>
          </w:p>
        </w:tc>
        <w:tc>
          <w:tcPr>
            <w:tcW w:w="900" w:type="dxa"/>
            <w:tcBorders>
              <w:tl2br w:val="nil"/>
              <w:tr2bl w:val="nil"/>
            </w:tcBorders>
            <w:vAlign w:val="center"/>
          </w:tcPr>
          <w:p w14:paraId="74328898">
            <w:pPr>
              <w:widowControl w:val="0"/>
              <w:wordWrap/>
              <w:snapToGrid/>
              <w:spacing w:line="240" w:lineRule="auto"/>
              <w:jc w:val="center"/>
              <w:textAlignment w:val="auto"/>
              <w:rPr>
                <w:rFonts w:hint="default" w:ascii="仿宋" w:hAnsi="仿宋" w:eastAsia="仿宋" w:cs="仿宋"/>
                <w:color w:val="auto"/>
                <w:sz w:val="21"/>
                <w:szCs w:val="21"/>
                <w:highlight w:val="none"/>
                <w:lang w:val="en-US" w:eastAsia="zh-CN"/>
              </w:rPr>
            </w:pPr>
            <w:r>
              <w:rPr>
                <w:rFonts w:hint="eastAsia" w:ascii="仿宋_GB2312" w:eastAsia="仿宋_GB2312"/>
                <w:color w:val="auto"/>
                <w:kern w:val="2"/>
                <w:sz w:val="21"/>
                <w:szCs w:val="22"/>
                <w:highlight w:val="none"/>
                <w:lang w:val="en-US" w:eastAsia="zh-CN" w:bidi="ar-SA"/>
              </w:rPr>
              <w:t>-</w:t>
            </w:r>
          </w:p>
        </w:tc>
        <w:tc>
          <w:tcPr>
            <w:tcW w:w="855" w:type="dxa"/>
            <w:tcBorders>
              <w:tl2br w:val="nil"/>
              <w:tr2bl w:val="nil"/>
            </w:tcBorders>
            <w:vAlign w:val="center"/>
          </w:tcPr>
          <w:p w14:paraId="15D6EC3F">
            <w:pPr>
              <w:pStyle w:val="36"/>
              <w:widowControl w:val="0"/>
              <w:wordWrap/>
              <w:snapToGrid/>
              <w:spacing w:line="240" w:lineRule="auto"/>
              <w:jc w:val="center"/>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预期性</w:t>
            </w:r>
          </w:p>
        </w:tc>
      </w:tr>
      <w:tr w14:paraId="0CE02E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7" w:hRule="atLeast"/>
          <w:jc w:val="center"/>
        </w:trPr>
        <w:tc>
          <w:tcPr>
            <w:tcW w:w="4095" w:type="dxa"/>
            <w:gridSpan w:val="2"/>
            <w:tcBorders>
              <w:tl2br w:val="nil"/>
              <w:tr2bl w:val="nil"/>
            </w:tcBorders>
            <w:vAlign w:val="center"/>
          </w:tcPr>
          <w:p w14:paraId="297A272F">
            <w:pPr>
              <w:pStyle w:val="36"/>
              <w:widowControl w:val="0"/>
              <w:wordWrap/>
              <w:snapToGrid/>
              <w:spacing w:line="240" w:lineRule="auto"/>
              <w:jc w:val="left"/>
              <w:textAlignment w:val="auto"/>
              <w:rPr>
                <w:rFonts w:hint="eastAsia" w:ascii="仿宋" w:hAnsi="仿宋" w:eastAsia="仿宋" w:cs="仿宋"/>
                <w:color w:val="auto"/>
                <w:kern w:val="0"/>
                <w:sz w:val="21"/>
                <w:szCs w:val="21"/>
                <w:lang w:val="en-US" w:eastAsia="zh-CN" w:bidi="ar-SA"/>
              </w:rPr>
            </w:pPr>
            <w:r>
              <w:rPr>
                <w:rFonts w:hint="eastAsia" w:ascii="仿宋" w:hAnsi="仿宋" w:eastAsia="仿宋" w:cs="仿宋"/>
                <w:color w:val="auto"/>
                <w:sz w:val="21"/>
                <w:szCs w:val="21"/>
                <w:lang w:val="en-US" w:eastAsia="zh-CN"/>
              </w:rPr>
              <w:t>3.常住</w:t>
            </w:r>
            <w:r>
              <w:rPr>
                <w:rFonts w:hint="eastAsia" w:ascii="仿宋" w:hAnsi="仿宋" w:eastAsia="仿宋" w:cs="仿宋"/>
                <w:color w:val="auto"/>
                <w:sz w:val="21"/>
                <w:szCs w:val="21"/>
              </w:rPr>
              <w:t>人口城镇化率（%）</w:t>
            </w:r>
          </w:p>
        </w:tc>
        <w:tc>
          <w:tcPr>
            <w:tcW w:w="930" w:type="dxa"/>
            <w:tcBorders>
              <w:tl2br w:val="nil"/>
              <w:tr2bl w:val="nil"/>
            </w:tcBorders>
            <w:vAlign w:val="center"/>
          </w:tcPr>
          <w:p w14:paraId="2E695FF4">
            <w:pPr>
              <w:pStyle w:val="36"/>
              <w:widowControl w:val="0"/>
              <w:wordWrap/>
              <w:snapToGrid/>
              <w:spacing w:line="240" w:lineRule="auto"/>
              <w:jc w:val="center"/>
              <w:textAlignment w:val="auto"/>
              <w:rPr>
                <w:rFonts w:hint="eastAsia" w:ascii="仿宋" w:hAnsi="仿宋" w:eastAsia="仿宋" w:cs="仿宋"/>
                <w:color w:val="auto"/>
                <w:kern w:val="0"/>
                <w:sz w:val="21"/>
                <w:szCs w:val="21"/>
                <w:lang w:val="en-US" w:eastAsia="zh-CN" w:bidi="ar-SA"/>
              </w:rPr>
            </w:pPr>
            <w:r>
              <w:rPr>
                <w:rFonts w:hint="eastAsia" w:ascii="仿宋" w:hAnsi="仿宋" w:eastAsia="仿宋" w:cs="仿宋"/>
                <w:color w:val="auto"/>
                <w:sz w:val="21"/>
                <w:szCs w:val="21"/>
                <w:lang w:val="en-US" w:eastAsia="zh-CN"/>
              </w:rPr>
              <w:t>43</w:t>
            </w:r>
          </w:p>
        </w:tc>
        <w:tc>
          <w:tcPr>
            <w:tcW w:w="885" w:type="dxa"/>
            <w:tcBorders>
              <w:tl2br w:val="nil"/>
              <w:tr2bl w:val="nil"/>
            </w:tcBorders>
            <w:vAlign w:val="center"/>
          </w:tcPr>
          <w:p w14:paraId="3E1288CE">
            <w:pPr>
              <w:pStyle w:val="36"/>
              <w:widowControl w:val="0"/>
              <w:wordWrap/>
              <w:snapToGrid/>
              <w:spacing w:line="240" w:lineRule="auto"/>
              <w:jc w:val="center"/>
              <w:textAlignment w:val="auto"/>
              <w:rPr>
                <w:rFonts w:hint="default" w:ascii="仿宋" w:hAnsi="仿宋" w:eastAsia="仿宋" w:cs="仿宋"/>
                <w:color w:val="auto"/>
                <w:kern w:val="0"/>
                <w:sz w:val="21"/>
                <w:szCs w:val="21"/>
                <w:highlight w:val="none"/>
                <w:lang w:val="en-US" w:eastAsia="zh-CN" w:bidi="ar-SA"/>
              </w:rPr>
            </w:pPr>
            <w:r>
              <w:rPr>
                <w:rFonts w:hint="eastAsia" w:ascii="仿宋" w:hAnsi="仿宋" w:eastAsia="仿宋" w:cs="仿宋"/>
                <w:color w:val="auto"/>
                <w:sz w:val="21"/>
                <w:szCs w:val="21"/>
                <w:highlight w:val="none"/>
                <w:lang w:val="en-US" w:eastAsia="zh-CN"/>
              </w:rPr>
              <w:t>&gt;50</w:t>
            </w:r>
          </w:p>
        </w:tc>
        <w:tc>
          <w:tcPr>
            <w:tcW w:w="915" w:type="dxa"/>
            <w:tcBorders>
              <w:tl2br w:val="nil"/>
              <w:tr2bl w:val="nil"/>
            </w:tcBorders>
            <w:vAlign w:val="center"/>
          </w:tcPr>
          <w:p w14:paraId="13554083">
            <w:pPr>
              <w:pStyle w:val="36"/>
              <w:widowControl w:val="0"/>
              <w:wordWrap/>
              <w:snapToGrid/>
              <w:spacing w:line="240" w:lineRule="auto"/>
              <w:jc w:val="center"/>
              <w:textAlignment w:val="auto"/>
              <w:rPr>
                <w:rFonts w:hint="eastAsia" w:ascii="仿宋" w:hAnsi="仿宋" w:eastAsia="仿宋" w:cs="仿宋"/>
                <w:color w:val="auto"/>
                <w:kern w:val="0"/>
                <w:sz w:val="21"/>
                <w:szCs w:val="21"/>
                <w:highlight w:val="none"/>
                <w:lang w:val="en-US" w:eastAsia="zh-CN" w:bidi="ar-SA"/>
              </w:rPr>
            </w:pPr>
            <w:r>
              <w:rPr>
                <w:rFonts w:hint="eastAsia" w:ascii="仿宋_GB2312" w:eastAsia="仿宋_GB2312"/>
                <w:color w:val="auto"/>
                <w:kern w:val="2"/>
                <w:sz w:val="21"/>
                <w:szCs w:val="22"/>
                <w:highlight w:val="none"/>
                <w:lang w:val="en-US" w:eastAsia="zh-CN" w:bidi="ar-SA"/>
              </w:rPr>
              <w:t>-</w:t>
            </w:r>
          </w:p>
        </w:tc>
        <w:tc>
          <w:tcPr>
            <w:tcW w:w="870" w:type="dxa"/>
            <w:tcBorders>
              <w:tl2br w:val="nil"/>
              <w:tr2bl w:val="nil"/>
            </w:tcBorders>
            <w:vAlign w:val="center"/>
          </w:tcPr>
          <w:p w14:paraId="51A09BE3">
            <w:pPr>
              <w:pStyle w:val="36"/>
              <w:widowControl w:val="0"/>
              <w:wordWrap/>
              <w:snapToGrid/>
              <w:spacing w:line="240" w:lineRule="auto"/>
              <w:jc w:val="center"/>
              <w:textAlignment w:val="auto"/>
              <w:rPr>
                <w:rFonts w:hint="default" w:ascii="仿宋" w:hAnsi="仿宋" w:eastAsia="仿宋" w:cs="仿宋"/>
                <w:color w:val="auto"/>
                <w:kern w:val="0"/>
                <w:sz w:val="21"/>
                <w:szCs w:val="21"/>
                <w:highlight w:val="none"/>
                <w:lang w:val="en-US" w:eastAsia="zh-CN" w:bidi="ar-SA"/>
              </w:rPr>
            </w:pPr>
            <w:r>
              <w:rPr>
                <w:rFonts w:hint="eastAsia" w:ascii="仿宋" w:hAnsi="仿宋" w:eastAsia="仿宋" w:cs="仿宋"/>
                <w:color w:val="auto"/>
                <w:kern w:val="0"/>
                <w:sz w:val="21"/>
                <w:szCs w:val="21"/>
                <w:highlight w:val="none"/>
                <w:lang w:val="en-US" w:eastAsia="zh-CN" w:bidi="ar-SA"/>
              </w:rPr>
              <w:t>44.8</w:t>
            </w:r>
          </w:p>
        </w:tc>
        <w:tc>
          <w:tcPr>
            <w:tcW w:w="900" w:type="dxa"/>
            <w:tcBorders>
              <w:tl2br w:val="nil"/>
              <w:tr2bl w:val="nil"/>
            </w:tcBorders>
            <w:vAlign w:val="center"/>
          </w:tcPr>
          <w:p w14:paraId="2CBB68F1">
            <w:pPr>
              <w:pStyle w:val="36"/>
              <w:widowControl w:val="0"/>
              <w:wordWrap/>
              <w:snapToGrid/>
              <w:spacing w:line="240" w:lineRule="auto"/>
              <w:jc w:val="center"/>
              <w:textAlignment w:val="auto"/>
              <w:rPr>
                <w:rFonts w:hint="default" w:ascii="仿宋" w:hAnsi="仿宋" w:eastAsia="仿宋" w:cs="仿宋"/>
                <w:color w:val="auto"/>
                <w:sz w:val="21"/>
                <w:szCs w:val="21"/>
                <w:highlight w:val="none"/>
                <w:lang w:val="en-US" w:eastAsia="zh-CN"/>
              </w:rPr>
            </w:pPr>
            <w:r>
              <w:rPr>
                <w:rFonts w:hint="eastAsia" w:ascii="仿宋_GB2312" w:eastAsia="仿宋_GB2312"/>
                <w:color w:val="auto"/>
                <w:kern w:val="2"/>
                <w:sz w:val="21"/>
                <w:szCs w:val="22"/>
                <w:highlight w:val="none"/>
                <w:lang w:val="en-US" w:eastAsia="zh-CN" w:bidi="ar-SA"/>
              </w:rPr>
              <w:t>-</w:t>
            </w:r>
          </w:p>
        </w:tc>
        <w:tc>
          <w:tcPr>
            <w:tcW w:w="855" w:type="dxa"/>
            <w:tcBorders>
              <w:tl2br w:val="nil"/>
              <w:tr2bl w:val="nil"/>
            </w:tcBorders>
            <w:vAlign w:val="center"/>
          </w:tcPr>
          <w:p w14:paraId="4AC87FF1">
            <w:pPr>
              <w:pStyle w:val="36"/>
              <w:widowControl w:val="0"/>
              <w:wordWrap/>
              <w:snapToGrid/>
              <w:spacing w:line="240" w:lineRule="auto"/>
              <w:jc w:val="center"/>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预期性</w:t>
            </w:r>
          </w:p>
        </w:tc>
      </w:tr>
      <w:tr w14:paraId="65546B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095" w:type="dxa"/>
            <w:gridSpan w:val="2"/>
            <w:tcBorders>
              <w:tl2br w:val="nil"/>
              <w:tr2bl w:val="nil"/>
            </w:tcBorders>
            <w:vAlign w:val="center"/>
          </w:tcPr>
          <w:p w14:paraId="16F50B1F">
            <w:pPr>
              <w:wordWrap/>
              <w:snapToGrid/>
              <w:spacing w:line="240" w:lineRule="auto"/>
              <w:jc w:val="left"/>
              <w:textAlignment w:val="auto"/>
              <w:rPr>
                <w:rFonts w:hint="eastAsia" w:ascii="仿宋_GB2312" w:eastAsia="仿宋_GB2312"/>
                <w:color w:val="auto"/>
                <w:kern w:val="2"/>
                <w:sz w:val="21"/>
                <w:szCs w:val="22"/>
                <w:lang w:val="en-US" w:eastAsia="zh-CN" w:bidi="ar-SA"/>
              </w:rPr>
            </w:pPr>
            <w:r>
              <w:rPr>
                <w:rFonts w:hint="eastAsia" w:ascii="仿宋_GB2312" w:eastAsia="仿宋_GB2312"/>
                <w:color w:val="auto"/>
                <w:lang w:val="en-US" w:eastAsia="zh-CN"/>
              </w:rPr>
              <w:t>4.社会消费品零售总额增长</w:t>
            </w:r>
            <w:r>
              <w:rPr>
                <w:rFonts w:hint="eastAsia" w:ascii="仿宋_GB2312" w:eastAsia="仿宋_GB2312"/>
                <w:color w:val="auto"/>
                <w:highlight w:val="none"/>
              </w:rPr>
              <w:t>(</w:t>
            </w:r>
            <w:r>
              <w:rPr>
                <w:rFonts w:hint="eastAsia" w:ascii="仿宋" w:hAnsi="仿宋" w:eastAsia="仿宋" w:cs="仿宋"/>
                <w:color w:val="auto"/>
                <w:sz w:val="21"/>
                <w:szCs w:val="21"/>
              </w:rPr>
              <w:t>%</w:t>
            </w:r>
            <w:r>
              <w:rPr>
                <w:rFonts w:hint="eastAsia" w:ascii="仿宋_GB2312" w:eastAsia="仿宋_GB2312"/>
                <w:color w:val="auto"/>
                <w:highlight w:val="none"/>
              </w:rPr>
              <w:t>)</w:t>
            </w:r>
          </w:p>
        </w:tc>
        <w:tc>
          <w:tcPr>
            <w:tcW w:w="930" w:type="dxa"/>
            <w:tcBorders>
              <w:tl2br w:val="nil"/>
              <w:tr2bl w:val="nil"/>
            </w:tcBorders>
            <w:vAlign w:val="center"/>
          </w:tcPr>
          <w:p w14:paraId="30D5B7BF">
            <w:pPr>
              <w:wordWrap/>
              <w:snapToGrid/>
              <w:spacing w:line="240" w:lineRule="auto"/>
              <w:jc w:val="center"/>
              <w:textAlignment w:val="auto"/>
              <w:rPr>
                <w:rFonts w:hint="default" w:ascii="仿宋_GB2312" w:eastAsia="仿宋_GB2312"/>
                <w:color w:val="auto"/>
                <w:kern w:val="2"/>
                <w:sz w:val="21"/>
                <w:szCs w:val="22"/>
                <w:lang w:val="en-US" w:eastAsia="zh-CN" w:bidi="ar-SA"/>
              </w:rPr>
            </w:pPr>
            <w:r>
              <w:rPr>
                <w:rFonts w:hint="eastAsia" w:ascii="仿宋_GB2312" w:eastAsia="仿宋_GB2312"/>
                <w:color w:val="auto"/>
                <w:kern w:val="2"/>
                <w:sz w:val="21"/>
                <w:szCs w:val="22"/>
                <w:lang w:val="en-US" w:eastAsia="zh-CN" w:bidi="ar-SA"/>
              </w:rPr>
              <w:t>-1.2</w:t>
            </w:r>
          </w:p>
        </w:tc>
        <w:tc>
          <w:tcPr>
            <w:tcW w:w="885" w:type="dxa"/>
            <w:tcBorders>
              <w:tl2br w:val="nil"/>
              <w:tr2bl w:val="nil"/>
            </w:tcBorders>
            <w:vAlign w:val="center"/>
          </w:tcPr>
          <w:p w14:paraId="05F14436">
            <w:pPr>
              <w:wordWrap/>
              <w:snapToGrid/>
              <w:spacing w:line="240" w:lineRule="auto"/>
              <w:jc w:val="center"/>
              <w:textAlignment w:val="auto"/>
              <w:rPr>
                <w:rFonts w:hint="eastAsia" w:ascii="仿宋_GB2312" w:eastAsia="仿宋_GB2312"/>
                <w:color w:val="auto"/>
                <w:kern w:val="2"/>
                <w:sz w:val="21"/>
                <w:szCs w:val="22"/>
                <w:highlight w:val="none"/>
                <w:lang w:val="en-US" w:eastAsia="zh-CN" w:bidi="ar-SA"/>
              </w:rPr>
            </w:pPr>
            <w:r>
              <w:rPr>
                <w:rFonts w:hint="eastAsia" w:ascii="仿宋_GB2312" w:eastAsia="仿宋_GB2312"/>
                <w:color w:val="auto"/>
                <w:kern w:val="2"/>
                <w:sz w:val="21"/>
                <w:szCs w:val="22"/>
                <w:highlight w:val="none"/>
                <w:lang w:val="en-US" w:eastAsia="zh-CN" w:bidi="ar-SA"/>
              </w:rPr>
              <w:t>-</w:t>
            </w:r>
          </w:p>
        </w:tc>
        <w:tc>
          <w:tcPr>
            <w:tcW w:w="915" w:type="dxa"/>
            <w:tcBorders>
              <w:tl2br w:val="nil"/>
              <w:tr2bl w:val="nil"/>
            </w:tcBorders>
            <w:vAlign w:val="center"/>
          </w:tcPr>
          <w:p w14:paraId="3F513B71">
            <w:pPr>
              <w:pStyle w:val="36"/>
              <w:widowControl w:val="0"/>
              <w:wordWrap/>
              <w:snapToGrid/>
              <w:spacing w:line="240" w:lineRule="auto"/>
              <w:jc w:val="center"/>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7</w:t>
            </w:r>
          </w:p>
        </w:tc>
        <w:tc>
          <w:tcPr>
            <w:tcW w:w="870" w:type="dxa"/>
            <w:tcBorders>
              <w:tl2br w:val="nil"/>
              <w:tr2bl w:val="nil"/>
            </w:tcBorders>
            <w:vAlign w:val="center"/>
          </w:tcPr>
          <w:p w14:paraId="189A12FF">
            <w:pPr>
              <w:pStyle w:val="36"/>
              <w:widowControl w:val="0"/>
              <w:wordWrap/>
              <w:snapToGrid/>
              <w:spacing w:line="240" w:lineRule="auto"/>
              <w:jc w:val="center"/>
              <w:textAlignment w:val="auto"/>
              <w:rPr>
                <w:rFonts w:hint="eastAsia" w:ascii="仿宋" w:hAnsi="仿宋" w:eastAsia="仿宋" w:cs="仿宋"/>
                <w:color w:val="auto"/>
                <w:sz w:val="21"/>
                <w:szCs w:val="21"/>
                <w:highlight w:val="none"/>
                <w:lang w:val="en-US" w:eastAsia="zh-CN"/>
              </w:rPr>
            </w:pPr>
            <w:r>
              <w:rPr>
                <w:rFonts w:hint="eastAsia" w:ascii="仿宋_GB2312" w:eastAsia="仿宋_GB2312"/>
                <w:color w:val="auto"/>
                <w:kern w:val="2"/>
                <w:sz w:val="21"/>
                <w:szCs w:val="22"/>
                <w:highlight w:val="none"/>
                <w:lang w:val="en-US" w:eastAsia="zh-CN" w:bidi="ar-SA"/>
              </w:rPr>
              <w:t>-</w:t>
            </w:r>
          </w:p>
        </w:tc>
        <w:tc>
          <w:tcPr>
            <w:tcW w:w="900" w:type="dxa"/>
            <w:tcBorders>
              <w:tl2br w:val="nil"/>
              <w:tr2bl w:val="nil"/>
            </w:tcBorders>
            <w:vAlign w:val="center"/>
          </w:tcPr>
          <w:p w14:paraId="06476A03">
            <w:pPr>
              <w:pStyle w:val="36"/>
              <w:widowControl w:val="0"/>
              <w:wordWrap/>
              <w:snapToGrid/>
              <w:spacing w:line="240" w:lineRule="auto"/>
              <w:jc w:val="center"/>
              <w:textAlignment w:val="auto"/>
              <w:rPr>
                <w:rFonts w:hint="default"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6.1</w:t>
            </w:r>
          </w:p>
        </w:tc>
        <w:tc>
          <w:tcPr>
            <w:tcW w:w="855" w:type="dxa"/>
            <w:tcBorders>
              <w:tl2br w:val="nil"/>
              <w:tr2bl w:val="nil"/>
            </w:tcBorders>
            <w:vAlign w:val="center"/>
          </w:tcPr>
          <w:p w14:paraId="631111A7">
            <w:pPr>
              <w:pStyle w:val="36"/>
              <w:widowControl w:val="0"/>
              <w:wordWrap/>
              <w:snapToGrid/>
              <w:spacing w:line="240" w:lineRule="auto"/>
              <w:jc w:val="center"/>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预期性</w:t>
            </w:r>
          </w:p>
        </w:tc>
      </w:tr>
      <w:tr w14:paraId="2ADBFD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50" w:type="dxa"/>
            <w:gridSpan w:val="8"/>
            <w:tcBorders>
              <w:tl2br w:val="nil"/>
              <w:tr2bl w:val="nil"/>
            </w:tcBorders>
            <w:vAlign w:val="center"/>
          </w:tcPr>
          <w:p w14:paraId="7EC251B0">
            <w:pPr>
              <w:pStyle w:val="36"/>
              <w:widowControl w:val="0"/>
              <w:wordWrap/>
              <w:snapToGrid/>
              <w:spacing w:line="240" w:lineRule="auto"/>
              <w:jc w:val="center"/>
              <w:textAlignment w:val="auto"/>
              <w:rPr>
                <w:rFonts w:hint="eastAsia" w:ascii="仿宋" w:hAnsi="仿宋" w:eastAsia="仿宋" w:cs="仿宋"/>
                <w:b/>
                <w:bCs/>
                <w:color w:val="auto"/>
                <w:sz w:val="21"/>
                <w:szCs w:val="21"/>
                <w:highlight w:val="none"/>
                <w:lang w:val="en-US" w:eastAsia="zh-CN"/>
              </w:rPr>
            </w:pPr>
            <w:r>
              <w:rPr>
                <w:rFonts w:hint="eastAsia" w:ascii="仿宋" w:hAnsi="仿宋" w:eastAsia="仿宋" w:cs="仿宋"/>
                <w:b/>
                <w:bCs/>
                <w:color w:val="auto"/>
                <w:sz w:val="21"/>
                <w:szCs w:val="21"/>
                <w:highlight w:val="none"/>
                <w:lang w:val="en-US" w:eastAsia="zh-CN"/>
              </w:rPr>
              <w:t>二、</w:t>
            </w:r>
            <w:r>
              <w:rPr>
                <w:rFonts w:hint="eastAsia" w:ascii="仿宋" w:hAnsi="仿宋" w:eastAsia="仿宋" w:cs="仿宋"/>
                <w:b/>
                <w:bCs/>
                <w:color w:val="auto"/>
                <w:sz w:val="21"/>
                <w:szCs w:val="21"/>
                <w:highlight w:val="none"/>
              </w:rPr>
              <w:t>创新驱动</w:t>
            </w:r>
          </w:p>
        </w:tc>
      </w:tr>
      <w:tr w14:paraId="19853E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095" w:type="dxa"/>
            <w:gridSpan w:val="2"/>
            <w:tcBorders>
              <w:tl2br w:val="nil"/>
              <w:tr2bl w:val="nil"/>
            </w:tcBorders>
            <w:vAlign w:val="center"/>
          </w:tcPr>
          <w:p w14:paraId="2A4CBF5D">
            <w:pPr>
              <w:pStyle w:val="36"/>
              <w:widowControl w:val="0"/>
              <w:wordWrap/>
              <w:snapToGrid/>
              <w:spacing w:line="240" w:lineRule="auto"/>
              <w:jc w:val="left"/>
              <w:textAlignment w:val="auto"/>
              <w:rPr>
                <w:rFonts w:hint="eastAsia" w:ascii="仿宋" w:hAnsi="仿宋" w:eastAsia="仿宋" w:cs="仿宋"/>
                <w:color w:val="auto"/>
                <w:sz w:val="21"/>
                <w:szCs w:val="21"/>
                <w:lang w:eastAsia="zh-CN"/>
              </w:rPr>
            </w:pPr>
            <w:r>
              <w:rPr>
                <w:rFonts w:hint="eastAsia" w:ascii="仿宋" w:hAnsi="仿宋" w:eastAsia="仿宋" w:cs="仿宋"/>
                <w:color w:val="auto"/>
                <w:sz w:val="21"/>
                <w:szCs w:val="21"/>
                <w:lang w:val="en-US" w:eastAsia="zh-CN"/>
              </w:rPr>
              <w:t>5.研发经费投入增长</w:t>
            </w:r>
            <w:r>
              <w:rPr>
                <w:rFonts w:hint="eastAsia" w:ascii="仿宋" w:hAnsi="仿宋" w:eastAsia="仿宋" w:cs="仿宋"/>
                <w:color w:val="auto"/>
                <w:sz w:val="21"/>
                <w:szCs w:val="21"/>
                <w:lang w:eastAsia="zh-CN"/>
              </w:rPr>
              <w:t>（</w:t>
            </w:r>
            <w:r>
              <w:rPr>
                <w:rFonts w:hint="eastAsia" w:ascii="仿宋" w:hAnsi="仿宋" w:eastAsia="仿宋" w:cs="仿宋"/>
                <w:color w:val="auto"/>
                <w:sz w:val="21"/>
                <w:szCs w:val="21"/>
                <w:lang w:val="en-US" w:eastAsia="zh-CN"/>
              </w:rPr>
              <w:t>%</w:t>
            </w:r>
            <w:r>
              <w:rPr>
                <w:rFonts w:hint="eastAsia" w:ascii="仿宋" w:hAnsi="仿宋" w:eastAsia="仿宋" w:cs="仿宋"/>
                <w:color w:val="auto"/>
                <w:sz w:val="21"/>
                <w:szCs w:val="21"/>
                <w:lang w:eastAsia="zh-CN"/>
              </w:rPr>
              <w:t>）</w:t>
            </w:r>
          </w:p>
        </w:tc>
        <w:tc>
          <w:tcPr>
            <w:tcW w:w="930" w:type="dxa"/>
            <w:tcBorders>
              <w:tl2br w:val="nil"/>
              <w:tr2bl w:val="nil"/>
            </w:tcBorders>
            <w:vAlign w:val="center"/>
          </w:tcPr>
          <w:p w14:paraId="4A3E8645">
            <w:pPr>
              <w:widowControl w:val="0"/>
              <w:wordWrap/>
              <w:snapToGrid/>
              <w:spacing w:line="240" w:lineRule="auto"/>
              <w:jc w:val="center"/>
              <w:textAlignment w:val="auto"/>
              <w:rPr>
                <w:rFonts w:hint="default" w:ascii="仿宋" w:hAnsi="仿宋" w:eastAsia="仿宋" w:cs="仿宋"/>
                <w:color w:val="auto"/>
                <w:sz w:val="21"/>
                <w:szCs w:val="21"/>
                <w:lang w:val="en-US" w:eastAsia="zh-CN"/>
              </w:rPr>
            </w:pPr>
            <w:r>
              <w:rPr>
                <w:rFonts w:hint="eastAsia" w:ascii="仿宋_GB2312" w:eastAsia="仿宋_GB2312"/>
                <w:color w:val="auto"/>
                <w:kern w:val="2"/>
                <w:sz w:val="21"/>
                <w:szCs w:val="22"/>
                <w:highlight w:val="none"/>
                <w:lang w:val="en-US" w:eastAsia="zh-CN" w:bidi="ar-SA"/>
              </w:rPr>
              <w:t>-</w:t>
            </w:r>
          </w:p>
        </w:tc>
        <w:tc>
          <w:tcPr>
            <w:tcW w:w="885" w:type="dxa"/>
            <w:tcBorders>
              <w:tl2br w:val="nil"/>
              <w:tr2bl w:val="nil"/>
            </w:tcBorders>
            <w:vAlign w:val="center"/>
          </w:tcPr>
          <w:p w14:paraId="6893169C">
            <w:pPr>
              <w:pStyle w:val="36"/>
              <w:widowControl w:val="0"/>
              <w:wordWrap/>
              <w:snapToGrid/>
              <w:spacing w:line="240" w:lineRule="auto"/>
              <w:jc w:val="center"/>
              <w:textAlignment w:val="auto"/>
              <w:rPr>
                <w:rFonts w:hint="eastAsia" w:ascii="仿宋" w:hAnsi="仿宋" w:eastAsia="仿宋" w:cs="仿宋"/>
                <w:color w:val="auto"/>
                <w:sz w:val="21"/>
                <w:szCs w:val="21"/>
                <w:highlight w:val="none"/>
              </w:rPr>
            </w:pPr>
            <w:r>
              <w:rPr>
                <w:rFonts w:hint="eastAsia" w:ascii="仿宋_GB2312" w:eastAsia="仿宋_GB2312"/>
                <w:color w:val="auto"/>
                <w:kern w:val="2"/>
                <w:sz w:val="21"/>
                <w:szCs w:val="22"/>
                <w:highlight w:val="none"/>
                <w:lang w:val="en-US" w:eastAsia="zh-CN" w:bidi="ar-SA"/>
              </w:rPr>
              <w:t>-</w:t>
            </w:r>
          </w:p>
        </w:tc>
        <w:tc>
          <w:tcPr>
            <w:tcW w:w="915" w:type="dxa"/>
            <w:tcBorders>
              <w:tl2br w:val="nil"/>
              <w:tr2bl w:val="nil"/>
            </w:tcBorders>
            <w:vAlign w:val="center"/>
          </w:tcPr>
          <w:p w14:paraId="445A6D33">
            <w:pPr>
              <w:pStyle w:val="36"/>
              <w:widowControl w:val="0"/>
              <w:wordWrap/>
              <w:snapToGrid/>
              <w:spacing w:line="240" w:lineRule="auto"/>
              <w:jc w:val="center"/>
              <w:textAlignment w:val="auto"/>
              <w:rPr>
                <w:rFonts w:hint="default"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12</w:t>
            </w:r>
          </w:p>
        </w:tc>
        <w:tc>
          <w:tcPr>
            <w:tcW w:w="870" w:type="dxa"/>
            <w:tcBorders>
              <w:tl2br w:val="nil"/>
              <w:tr2bl w:val="nil"/>
            </w:tcBorders>
            <w:vAlign w:val="center"/>
          </w:tcPr>
          <w:p w14:paraId="17E4C7EB">
            <w:pPr>
              <w:widowControl w:val="0"/>
              <w:wordWrap/>
              <w:snapToGrid/>
              <w:spacing w:line="240" w:lineRule="auto"/>
              <w:jc w:val="center"/>
              <w:textAlignment w:val="auto"/>
              <w:rPr>
                <w:rFonts w:hint="eastAsia" w:ascii="仿宋" w:hAnsi="仿宋" w:eastAsia="仿宋" w:cs="仿宋"/>
                <w:color w:val="auto"/>
                <w:sz w:val="21"/>
                <w:szCs w:val="21"/>
                <w:highlight w:val="none"/>
              </w:rPr>
            </w:pPr>
            <w:r>
              <w:rPr>
                <w:rFonts w:hint="eastAsia" w:ascii="仿宋_GB2312" w:eastAsia="仿宋_GB2312"/>
                <w:color w:val="auto"/>
                <w:kern w:val="2"/>
                <w:sz w:val="21"/>
                <w:szCs w:val="22"/>
                <w:highlight w:val="none"/>
                <w:lang w:val="en-US" w:eastAsia="zh-CN" w:bidi="ar-SA"/>
              </w:rPr>
              <w:t>-</w:t>
            </w:r>
          </w:p>
        </w:tc>
        <w:tc>
          <w:tcPr>
            <w:tcW w:w="900" w:type="dxa"/>
            <w:tcBorders>
              <w:tl2br w:val="nil"/>
              <w:tr2bl w:val="nil"/>
            </w:tcBorders>
            <w:vAlign w:val="center"/>
          </w:tcPr>
          <w:p w14:paraId="3CBFFDE5">
            <w:pPr>
              <w:widowControl w:val="0"/>
              <w:wordWrap/>
              <w:snapToGrid/>
              <w:spacing w:line="240" w:lineRule="auto"/>
              <w:jc w:val="center"/>
              <w:textAlignment w:val="auto"/>
              <w:rPr>
                <w:rFonts w:hint="eastAsia" w:ascii="仿宋" w:hAnsi="仿宋" w:eastAsia="仿宋" w:cs="仿宋"/>
                <w:color w:val="auto"/>
                <w:sz w:val="21"/>
                <w:szCs w:val="21"/>
                <w:highlight w:val="none"/>
                <w:lang w:val="en-US" w:eastAsia="zh-CN"/>
              </w:rPr>
            </w:pPr>
            <w:r>
              <w:rPr>
                <w:rFonts w:hint="eastAsia" w:ascii="仿宋_GB2312" w:eastAsia="仿宋_GB2312"/>
                <w:color w:val="auto"/>
                <w:kern w:val="2"/>
                <w:sz w:val="21"/>
                <w:szCs w:val="22"/>
                <w:highlight w:val="none"/>
                <w:lang w:val="en-US" w:eastAsia="zh-CN" w:bidi="ar-SA"/>
              </w:rPr>
              <w:t>-</w:t>
            </w:r>
          </w:p>
        </w:tc>
        <w:tc>
          <w:tcPr>
            <w:tcW w:w="855" w:type="dxa"/>
            <w:tcBorders>
              <w:tl2br w:val="nil"/>
              <w:tr2bl w:val="nil"/>
            </w:tcBorders>
            <w:vAlign w:val="center"/>
          </w:tcPr>
          <w:p w14:paraId="494F029B">
            <w:pPr>
              <w:pStyle w:val="36"/>
              <w:widowControl w:val="0"/>
              <w:wordWrap/>
              <w:snapToGrid/>
              <w:spacing w:line="240" w:lineRule="auto"/>
              <w:jc w:val="center"/>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预期性</w:t>
            </w:r>
          </w:p>
        </w:tc>
      </w:tr>
      <w:tr w14:paraId="311BE5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095" w:type="dxa"/>
            <w:gridSpan w:val="2"/>
            <w:tcBorders>
              <w:tl2br w:val="nil"/>
              <w:tr2bl w:val="nil"/>
            </w:tcBorders>
            <w:vAlign w:val="center"/>
          </w:tcPr>
          <w:p w14:paraId="7CA8F65F">
            <w:pPr>
              <w:pStyle w:val="36"/>
              <w:widowControl w:val="0"/>
              <w:wordWrap/>
              <w:snapToGrid/>
              <w:spacing w:line="240" w:lineRule="auto"/>
              <w:jc w:val="left"/>
              <w:textAlignment w:val="auto"/>
              <w:rPr>
                <w:rFonts w:hint="eastAsia" w:ascii="仿宋" w:hAnsi="仿宋" w:eastAsia="仿宋" w:cs="仿宋"/>
                <w:color w:val="auto"/>
                <w:sz w:val="21"/>
                <w:szCs w:val="21"/>
                <w:lang w:eastAsia="zh-CN"/>
              </w:rPr>
            </w:pPr>
            <w:r>
              <w:rPr>
                <w:rFonts w:hint="eastAsia" w:ascii="仿宋" w:hAnsi="仿宋" w:eastAsia="仿宋" w:cs="仿宋"/>
                <w:color w:val="auto"/>
                <w:sz w:val="21"/>
                <w:szCs w:val="21"/>
                <w:lang w:val="en-US" w:eastAsia="zh-CN"/>
              </w:rPr>
              <w:t>6.每</w:t>
            </w:r>
            <w:r>
              <w:rPr>
                <w:rFonts w:hint="eastAsia" w:ascii="仿宋" w:hAnsi="仿宋" w:eastAsia="仿宋" w:cs="仿宋"/>
                <w:color w:val="auto"/>
                <w:sz w:val="21"/>
                <w:szCs w:val="21"/>
              </w:rPr>
              <w:t>万人</w:t>
            </w:r>
            <w:r>
              <w:rPr>
                <w:rFonts w:hint="eastAsia" w:ascii="仿宋" w:hAnsi="仿宋" w:eastAsia="仿宋" w:cs="仿宋"/>
                <w:color w:val="auto"/>
                <w:sz w:val="21"/>
                <w:szCs w:val="21"/>
                <w:lang w:val="en-US" w:eastAsia="zh-CN"/>
              </w:rPr>
              <w:t>口</w:t>
            </w:r>
            <w:r>
              <w:rPr>
                <w:rFonts w:hint="eastAsia" w:ascii="仿宋" w:hAnsi="仿宋" w:eastAsia="仿宋" w:cs="仿宋"/>
                <w:color w:val="auto"/>
                <w:sz w:val="21"/>
                <w:szCs w:val="21"/>
              </w:rPr>
              <w:t>高价值发明专利拥有量</w:t>
            </w:r>
            <w:r>
              <w:rPr>
                <w:rFonts w:hint="eastAsia" w:ascii="仿宋" w:hAnsi="仿宋" w:eastAsia="仿宋" w:cs="仿宋"/>
                <w:color w:val="auto"/>
                <w:sz w:val="21"/>
                <w:szCs w:val="21"/>
                <w:lang w:eastAsia="zh-CN"/>
              </w:rPr>
              <w:t>（</w:t>
            </w:r>
            <w:r>
              <w:rPr>
                <w:rFonts w:hint="eastAsia" w:ascii="仿宋" w:hAnsi="仿宋" w:eastAsia="仿宋" w:cs="仿宋"/>
                <w:color w:val="auto"/>
                <w:sz w:val="21"/>
                <w:szCs w:val="21"/>
                <w:lang w:val="en-US" w:eastAsia="zh-CN"/>
              </w:rPr>
              <w:t>件</w:t>
            </w:r>
            <w:r>
              <w:rPr>
                <w:rFonts w:hint="eastAsia" w:ascii="仿宋" w:hAnsi="仿宋" w:eastAsia="仿宋" w:cs="仿宋"/>
                <w:color w:val="auto"/>
                <w:sz w:val="21"/>
                <w:szCs w:val="21"/>
                <w:lang w:eastAsia="zh-CN"/>
              </w:rPr>
              <w:t>）</w:t>
            </w:r>
          </w:p>
        </w:tc>
        <w:tc>
          <w:tcPr>
            <w:tcW w:w="930" w:type="dxa"/>
            <w:tcBorders>
              <w:tl2br w:val="nil"/>
              <w:tr2bl w:val="nil"/>
            </w:tcBorders>
            <w:vAlign w:val="center"/>
          </w:tcPr>
          <w:p w14:paraId="239F4A09">
            <w:pPr>
              <w:widowControl w:val="0"/>
              <w:wordWrap/>
              <w:snapToGrid/>
              <w:spacing w:line="240" w:lineRule="auto"/>
              <w:jc w:val="center"/>
              <w:textAlignment w:val="auto"/>
              <w:rPr>
                <w:rFonts w:hint="eastAsia" w:ascii="仿宋" w:hAnsi="仿宋" w:eastAsia="仿宋" w:cs="仿宋"/>
                <w:color w:val="auto"/>
                <w:sz w:val="21"/>
                <w:szCs w:val="21"/>
                <w:lang w:eastAsia="zh-CN"/>
              </w:rPr>
            </w:pPr>
            <w:r>
              <w:rPr>
                <w:rFonts w:hint="eastAsia" w:ascii="仿宋_GB2312" w:eastAsia="仿宋_GB2312"/>
                <w:color w:val="auto"/>
                <w:kern w:val="2"/>
                <w:sz w:val="21"/>
                <w:szCs w:val="22"/>
                <w:highlight w:val="none"/>
                <w:lang w:val="en-US" w:eastAsia="zh-CN" w:bidi="ar-SA"/>
              </w:rPr>
              <w:t>-</w:t>
            </w:r>
          </w:p>
        </w:tc>
        <w:tc>
          <w:tcPr>
            <w:tcW w:w="885" w:type="dxa"/>
            <w:tcBorders>
              <w:tl2br w:val="nil"/>
              <w:tr2bl w:val="nil"/>
            </w:tcBorders>
            <w:vAlign w:val="center"/>
          </w:tcPr>
          <w:p w14:paraId="4FFA288A">
            <w:pPr>
              <w:pStyle w:val="36"/>
              <w:widowControl w:val="0"/>
              <w:wordWrap/>
              <w:snapToGrid/>
              <w:spacing w:line="240" w:lineRule="auto"/>
              <w:jc w:val="center"/>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3</w:t>
            </w:r>
          </w:p>
        </w:tc>
        <w:tc>
          <w:tcPr>
            <w:tcW w:w="915" w:type="dxa"/>
            <w:tcBorders>
              <w:tl2br w:val="nil"/>
              <w:tr2bl w:val="nil"/>
            </w:tcBorders>
            <w:vAlign w:val="center"/>
          </w:tcPr>
          <w:p w14:paraId="6E0EB283">
            <w:pPr>
              <w:widowControl w:val="0"/>
              <w:wordWrap/>
              <w:snapToGrid/>
              <w:spacing w:line="240" w:lineRule="auto"/>
              <w:jc w:val="center"/>
              <w:textAlignment w:val="auto"/>
              <w:rPr>
                <w:rFonts w:hint="eastAsia" w:ascii="仿宋" w:hAnsi="仿宋" w:eastAsia="仿宋" w:cs="仿宋"/>
                <w:color w:val="auto"/>
                <w:sz w:val="21"/>
                <w:szCs w:val="21"/>
                <w:highlight w:val="none"/>
              </w:rPr>
            </w:pPr>
            <w:r>
              <w:rPr>
                <w:rFonts w:hint="eastAsia" w:ascii="仿宋_GB2312" w:eastAsia="仿宋_GB2312"/>
                <w:color w:val="auto"/>
                <w:kern w:val="2"/>
                <w:sz w:val="21"/>
                <w:szCs w:val="22"/>
                <w:highlight w:val="none"/>
                <w:lang w:val="en-US" w:eastAsia="zh-CN" w:bidi="ar-SA"/>
              </w:rPr>
              <w:t>-</w:t>
            </w:r>
          </w:p>
        </w:tc>
        <w:tc>
          <w:tcPr>
            <w:tcW w:w="870" w:type="dxa"/>
            <w:tcBorders>
              <w:tl2br w:val="nil"/>
              <w:tr2bl w:val="nil"/>
            </w:tcBorders>
            <w:vAlign w:val="center"/>
          </w:tcPr>
          <w:p w14:paraId="1B60FCE4">
            <w:pPr>
              <w:widowControl w:val="0"/>
              <w:wordWrap/>
              <w:snapToGrid/>
              <w:spacing w:line="240" w:lineRule="auto"/>
              <w:jc w:val="center"/>
              <w:textAlignment w:val="auto"/>
              <w:rPr>
                <w:rFonts w:hint="default" w:ascii="仿宋" w:hAnsi="仿宋" w:eastAsia="仿宋" w:cs="仿宋"/>
                <w:color w:val="auto"/>
                <w:sz w:val="21"/>
                <w:szCs w:val="21"/>
                <w:highlight w:val="none"/>
                <w:lang w:val="en-US"/>
              </w:rPr>
            </w:pPr>
            <w:r>
              <w:rPr>
                <w:rFonts w:hint="eastAsia" w:ascii="仿宋_GB2312" w:eastAsia="仿宋_GB2312"/>
                <w:color w:val="auto"/>
                <w:kern w:val="2"/>
                <w:sz w:val="21"/>
                <w:szCs w:val="22"/>
                <w:highlight w:val="none"/>
                <w:lang w:val="en-US" w:eastAsia="zh-CN" w:bidi="ar-SA"/>
              </w:rPr>
              <w:t>0.019</w:t>
            </w:r>
          </w:p>
        </w:tc>
        <w:tc>
          <w:tcPr>
            <w:tcW w:w="900" w:type="dxa"/>
            <w:tcBorders>
              <w:tl2br w:val="nil"/>
              <w:tr2bl w:val="nil"/>
            </w:tcBorders>
            <w:vAlign w:val="center"/>
          </w:tcPr>
          <w:p w14:paraId="57574E13">
            <w:pPr>
              <w:widowControl w:val="0"/>
              <w:wordWrap/>
              <w:snapToGrid/>
              <w:spacing w:line="240" w:lineRule="auto"/>
              <w:jc w:val="center"/>
              <w:textAlignment w:val="auto"/>
              <w:rPr>
                <w:rFonts w:hint="eastAsia" w:ascii="仿宋" w:hAnsi="仿宋" w:eastAsia="仿宋" w:cs="仿宋"/>
                <w:color w:val="auto"/>
                <w:sz w:val="21"/>
                <w:szCs w:val="21"/>
                <w:highlight w:val="none"/>
                <w:lang w:val="en-US" w:eastAsia="zh-CN"/>
              </w:rPr>
            </w:pPr>
            <w:r>
              <w:rPr>
                <w:rFonts w:hint="eastAsia" w:ascii="仿宋_GB2312" w:eastAsia="仿宋_GB2312"/>
                <w:color w:val="auto"/>
                <w:kern w:val="2"/>
                <w:sz w:val="21"/>
                <w:szCs w:val="22"/>
                <w:highlight w:val="none"/>
                <w:lang w:val="en-US" w:eastAsia="zh-CN" w:bidi="ar-SA"/>
              </w:rPr>
              <w:t>-</w:t>
            </w:r>
          </w:p>
        </w:tc>
        <w:tc>
          <w:tcPr>
            <w:tcW w:w="855" w:type="dxa"/>
            <w:tcBorders>
              <w:tl2br w:val="nil"/>
              <w:tr2bl w:val="nil"/>
            </w:tcBorders>
            <w:vAlign w:val="center"/>
          </w:tcPr>
          <w:p w14:paraId="5703E59F">
            <w:pPr>
              <w:pStyle w:val="36"/>
              <w:widowControl w:val="0"/>
              <w:wordWrap/>
              <w:snapToGrid/>
              <w:spacing w:line="240" w:lineRule="auto"/>
              <w:jc w:val="center"/>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预期性</w:t>
            </w:r>
          </w:p>
        </w:tc>
      </w:tr>
      <w:tr w14:paraId="3EBC03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095" w:type="dxa"/>
            <w:gridSpan w:val="2"/>
            <w:tcBorders>
              <w:tl2br w:val="nil"/>
              <w:tr2bl w:val="nil"/>
            </w:tcBorders>
            <w:vAlign w:val="center"/>
          </w:tcPr>
          <w:p w14:paraId="1A22DE3D">
            <w:pPr>
              <w:pStyle w:val="36"/>
              <w:widowControl w:val="0"/>
              <w:wordWrap/>
              <w:snapToGrid/>
              <w:spacing w:line="240" w:lineRule="auto"/>
              <w:jc w:val="left"/>
              <w:textAlignment w:val="auto"/>
              <w:rPr>
                <w:rFonts w:hint="eastAsia" w:ascii="仿宋" w:hAnsi="仿宋" w:eastAsia="仿宋" w:cs="仿宋"/>
                <w:color w:val="auto"/>
                <w:sz w:val="21"/>
                <w:szCs w:val="21"/>
                <w:lang w:eastAsia="zh-CN"/>
              </w:rPr>
            </w:pPr>
            <w:r>
              <w:rPr>
                <w:rFonts w:hint="eastAsia" w:ascii="仿宋" w:hAnsi="仿宋" w:eastAsia="仿宋" w:cs="仿宋"/>
                <w:color w:val="auto"/>
                <w:sz w:val="21"/>
                <w:szCs w:val="21"/>
                <w:lang w:val="en-US" w:eastAsia="zh-CN"/>
              </w:rPr>
              <w:t>7.数字</w:t>
            </w:r>
            <w:r>
              <w:rPr>
                <w:rFonts w:hint="eastAsia" w:ascii="仿宋" w:hAnsi="仿宋" w:eastAsia="仿宋" w:cs="仿宋"/>
                <w:color w:val="auto"/>
                <w:sz w:val="21"/>
                <w:szCs w:val="21"/>
              </w:rPr>
              <w:t>经济核心产业增加值占</w:t>
            </w:r>
            <w:r>
              <w:rPr>
                <w:rFonts w:hint="eastAsia" w:ascii="仿宋" w:hAnsi="仿宋" w:eastAsia="仿宋" w:cs="仿宋"/>
                <w:color w:val="auto"/>
                <w:sz w:val="21"/>
                <w:szCs w:val="21"/>
                <w:lang w:val="en-US" w:eastAsia="zh-CN"/>
              </w:rPr>
              <w:t>地区生产总值</w:t>
            </w:r>
            <w:r>
              <w:rPr>
                <w:rFonts w:hint="eastAsia" w:ascii="仿宋" w:hAnsi="仿宋" w:eastAsia="仿宋" w:cs="仿宋"/>
                <w:color w:val="auto"/>
                <w:sz w:val="21"/>
                <w:szCs w:val="21"/>
              </w:rPr>
              <w:t>比重</w:t>
            </w:r>
            <w:r>
              <w:rPr>
                <w:rFonts w:hint="eastAsia" w:ascii="仿宋" w:hAnsi="仿宋" w:eastAsia="仿宋" w:cs="仿宋"/>
                <w:color w:val="auto"/>
                <w:sz w:val="21"/>
                <w:szCs w:val="21"/>
                <w:lang w:eastAsia="zh-CN"/>
              </w:rPr>
              <w:t>（</w:t>
            </w:r>
            <w:r>
              <w:rPr>
                <w:rFonts w:hint="eastAsia" w:ascii="仿宋" w:hAnsi="仿宋" w:eastAsia="仿宋" w:cs="仿宋"/>
                <w:color w:val="auto"/>
                <w:sz w:val="21"/>
                <w:szCs w:val="21"/>
                <w:lang w:val="en-US" w:eastAsia="zh-CN"/>
              </w:rPr>
              <w:t>%</w:t>
            </w:r>
            <w:r>
              <w:rPr>
                <w:rFonts w:hint="eastAsia" w:ascii="仿宋" w:hAnsi="仿宋" w:eastAsia="仿宋" w:cs="仿宋"/>
                <w:color w:val="auto"/>
                <w:sz w:val="21"/>
                <w:szCs w:val="21"/>
                <w:lang w:eastAsia="zh-CN"/>
              </w:rPr>
              <w:t>）</w:t>
            </w:r>
          </w:p>
        </w:tc>
        <w:tc>
          <w:tcPr>
            <w:tcW w:w="930" w:type="dxa"/>
            <w:tcBorders>
              <w:tl2br w:val="nil"/>
              <w:tr2bl w:val="nil"/>
            </w:tcBorders>
            <w:vAlign w:val="center"/>
          </w:tcPr>
          <w:p w14:paraId="46CD8BA0">
            <w:pPr>
              <w:widowControl w:val="0"/>
              <w:wordWrap/>
              <w:snapToGrid/>
              <w:spacing w:line="240" w:lineRule="auto"/>
              <w:jc w:val="center"/>
              <w:textAlignment w:val="auto"/>
              <w:rPr>
                <w:rFonts w:hint="eastAsia" w:ascii="仿宋" w:hAnsi="仿宋" w:eastAsia="仿宋" w:cs="仿宋"/>
                <w:color w:val="auto"/>
                <w:sz w:val="21"/>
                <w:szCs w:val="21"/>
              </w:rPr>
            </w:pPr>
            <w:r>
              <w:rPr>
                <w:rFonts w:hint="eastAsia" w:ascii="仿宋_GB2312" w:eastAsia="仿宋_GB2312"/>
                <w:color w:val="auto"/>
                <w:kern w:val="2"/>
                <w:sz w:val="21"/>
                <w:szCs w:val="22"/>
                <w:highlight w:val="none"/>
                <w:lang w:val="en-US" w:eastAsia="zh-CN" w:bidi="ar-SA"/>
              </w:rPr>
              <w:t>-</w:t>
            </w:r>
          </w:p>
        </w:tc>
        <w:tc>
          <w:tcPr>
            <w:tcW w:w="885" w:type="dxa"/>
            <w:tcBorders>
              <w:tl2br w:val="nil"/>
              <w:tr2bl w:val="nil"/>
            </w:tcBorders>
            <w:vAlign w:val="center"/>
          </w:tcPr>
          <w:p w14:paraId="5F081155">
            <w:pPr>
              <w:pStyle w:val="36"/>
              <w:widowControl w:val="0"/>
              <w:wordWrap/>
              <w:snapToGrid/>
              <w:spacing w:line="240" w:lineRule="auto"/>
              <w:jc w:val="center"/>
              <w:textAlignment w:val="auto"/>
              <w:rPr>
                <w:rFonts w:hint="eastAsia" w:ascii="仿宋" w:hAnsi="仿宋" w:eastAsia="仿宋" w:cs="仿宋"/>
                <w:color w:val="auto"/>
                <w:sz w:val="21"/>
                <w:szCs w:val="21"/>
                <w:highlight w:val="none"/>
                <w:lang w:val="en-US" w:eastAsia="zh-CN"/>
              </w:rPr>
            </w:pPr>
            <w:r>
              <w:rPr>
                <w:rFonts w:hint="eastAsia" w:ascii="仿宋_GB2312" w:eastAsia="仿宋_GB2312"/>
                <w:color w:val="auto"/>
                <w:kern w:val="2"/>
                <w:sz w:val="21"/>
                <w:szCs w:val="22"/>
                <w:highlight w:val="none"/>
                <w:lang w:val="en-US" w:eastAsia="zh-CN" w:bidi="ar-SA"/>
              </w:rPr>
              <w:t>-</w:t>
            </w:r>
          </w:p>
        </w:tc>
        <w:tc>
          <w:tcPr>
            <w:tcW w:w="915" w:type="dxa"/>
            <w:tcBorders>
              <w:tl2br w:val="nil"/>
              <w:tr2bl w:val="nil"/>
            </w:tcBorders>
            <w:vAlign w:val="center"/>
          </w:tcPr>
          <w:p w14:paraId="2D20C71B">
            <w:pPr>
              <w:pStyle w:val="36"/>
              <w:widowControl w:val="0"/>
              <w:wordWrap/>
              <w:snapToGrid/>
              <w:spacing w:line="240" w:lineRule="auto"/>
              <w:jc w:val="center"/>
              <w:textAlignment w:val="auto"/>
              <w:rPr>
                <w:rFonts w:hint="default" w:ascii="仿宋" w:hAnsi="仿宋" w:eastAsia="仿宋" w:cs="仿宋"/>
                <w:color w:val="auto"/>
                <w:sz w:val="21"/>
                <w:szCs w:val="21"/>
                <w:highlight w:val="none"/>
                <w:lang w:val="en-US"/>
              </w:rPr>
            </w:pPr>
            <w:r>
              <w:rPr>
                <w:rFonts w:hint="eastAsia" w:ascii="仿宋_GB2312" w:eastAsia="仿宋_GB2312"/>
                <w:color w:val="auto"/>
                <w:kern w:val="2"/>
                <w:sz w:val="21"/>
                <w:szCs w:val="22"/>
                <w:highlight w:val="none"/>
                <w:lang w:val="en-US" w:eastAsia="zh-CN" w:bidi="ar-SA"/>
              </w:rPr>
              <w:t>[2.5]</w:t>
            </w:r>
          </w:p>
        </w:tc>
        <w:tc>
          <w:tcPr>
            <w:tcW w:w="870" w:type="dxa"/>
            <w:tcBorders>
              <w:tl2br w:val="nil"/>
              <w:tr2bl w:val="nil"/>
            </w:tcBorders>
            <w:vAlign w:val="center"/>
          </w:tcPr>
          <w:p w14:paraId="336FA29E">
            <w:pPr>
              <w:widowControl w:val="0"/>
              <w:wordWrap/>
              <w:snapToGrid/>
              <w:spacing w:line="240" w:lineRule="auto"/>
              <w:jc w:val="center"/>
              <w:textAlignment w:val="auto"/>
              <w:rPr>
                <w:rFonts w:hint="eastAsia" w:ascii="仿宋" w:hAnsi="仿宋" w:eastAsia="仿宋" w:cs="仿宋"/>
                <w:color w:val="auto"/>
                <w:sz w:val="21"/>
                <w:szCs w:val="21"/>
                <w:highlight w:val="none"/>
              </w:rPr>
            </w:pPr>
            <w:r>
              <w:rPr>
                <w:rFonts w:hint="eastAsia" w:ascii="仿宋_GB2312" w:eastAsia="仿宋_GB2312"/>
                <w:color w:val="auto"/>
                <w:kern w:val="2"/>
                <w:sz w:val="21"/>
                <w:szCs w:val="22"/>
                <w:highlight w:val="none"/>
                <w:lang w:val="en-US" w:eastAsia="zh-CN" w:bidi="ar-SA"/>
              </w:rPr>
              <w:t>-</w:t>
            </w:r>
          </w:p>
        </w:tc>
        <w:tc>
          <w:tcPr>
            <w:tcW w:w="900" w:type="dxa"/>
            <w:tcBorders>
              <w:tl2br w:val="nil"/>
              <w:tr2bl w:val="nil"/>
            </w:tcBorders>
            <w:vAlign w:val="center"/>
          </w:tcPr>
          <w:p w14:paraId="4D285C7D">
            <w:pPr>
              <w:widowControl w:val="0"/>
              <w:wordWrap/>
              <w:snapToGrid/>
              <w:spacing w:line="240" w:lineRule="auto"/>
              <w:jc w:val="center"/>
              <w:textAlignment w:val="auto"/>
              <w:rPr>
                <w:rFonts w:hint="eastAsia" w:ascii="仿宋" w:hAnsi="仿宋" w:eastAsia="仿宋" w:cs="仿宋"/>
                <w:color w:val="auto"/>
                <w:sz w:val="21"/>
                <w:szCs w:val="21"/>
                <w:highlight w:val="none"/>
                <w:lang w:val="en-US" w:eastAsia="zh-CN"/>
              </w:rPr>
            </w:pPr>
            <w:r>
              <w:rPr>
                <w:rFonts w:hint="eastAsia" w:ascii="仿宋_GB2312" w:eastAsia="仿宋_GB2312"/>
                <w:color w:val="auto"/>
                <w:kern w:val="2"/>
                <w:sz w:val="21"/>
                <w:szCs w:val="22"/>
                <w:highlight w:val="none"/>
                <w:lang w:val="en-US" w:eastAsia="zh-CN" w:bidi="ar-SA"/>
              </w:rPr>
              <w:t>-</w:t>
            </w:r>
          </w:p>
        </w:tc>
        <w:tc>
          <w:tcPr>
            <w:tcW w:w="855" w:type="dxa"/>
            <w:tcBorders>
              <w:tl2br w:val="nil"/>
              <w:tr2bl w:val="nil"/>
            </w:tcBorders>
            <w:vAlign w:val="center"/>
          </w:tcPr>
          <w:p w14:paraId="73190F2A">
            <w:pPr>
              <w:pStyle w:val="36"/>
              <w:widowControl w:val="0"/>
              <w:wordWrap/>
              <w:snapToGrid/>
              <w:spacing w:line="240" w:lineRule="auto"/>
              <w:jc w:val="center"/>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预期性</w:t>
            </w:r>
          </w:p>
        </w:tc>
      </w:tr>
      <w:tr w14:paraId="69BBF7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50" w:type="dxa"/>
            <w:gridSpan w:val="8"/>
            <w:tcBorders>
              <w:tl2br w:val="nil"/>
              <w:tr2bl w:val="nil"/>
            </w:tcBorders>
            <w:vAlign w:val="center"/>
          </w:tcPr>
          <w:p w14:paraId="1087CEC1">
            <w:pPr>
              <w:pStyle w:val="36"/>
              <w:widowControl w:val="0"/>
              <w:wordWrap/>
              <w:snapToGrid/>
              <w:spacing w:line="240" w:lineRule="auto"/>
              <w:jc w:val="center"/>
              <w:textAlignment w:val="auto"/>
              <w:rPr>
                <w:rFonts w:hint="eastAsia" w:ascii="仿宋" w:hAnsi="仿宋" w:eastAsia="仿宋" w:cs="仿宋"/>
                <w:b/>
                <w:bCs/>
                <w:color w:val="auto"/>
                <w:sz w:val="21"/>
                <w:szCs w:val="21"/>
                <w:highlight w:val="none"/>
                <w:lang w:val="en-US" w:eastAsia="zh-CN"/>
              </w:rPr>
            </w:pPr>
            <w:r>
              <w:rPr>
                <w:rFonts w:hint="eastAsia" w:ascii="仿宋" w:hAnsi="仿宋" w:eastAsia="仿宋" w:cs="仿宋"/>
                <w:b/>
                <w:bCs/>
                <w:color w:val="auto"/>
                <w:sz w:val="21"/>
                <w:szCs w:val="21"/>
                <w:highlight w:val="none"/>
                <w:lang w:val="en-US" w:eastAsia="zh-CN"/>
              </w:rPr>
              <w:t>三、</w:t>
            </w:r>
            <w:r>
              <w:rPr>
                <w:rFonts w:hint="eastAsia" w:ascii="仿宋" w:hAnsi="仿宋" w:eastAsia="仿宋" w:cs="仿宋"/>
                <w:b/>
                <w:bCs/>
                <w:color w:val="auto"/>
                <w:sz w:val="21"/>
                <w:szCs w:val="21"/>
                <w:highlight w:val="none"/>
              </w:rPr>
              <w:t>民生福祉</w:t>
            </w:r>
          </w:p>
        </w:tc>
      </w:tr>
      <w:tr w14:paraId="554AFA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095" w:type="dxa"/>
            <w:gridSpan w:val="2"/>
            <w:tcBorders>
              <w:tl2br w:val="nil"/>
              <w:tr2bl w:val="nil"/>
            </w:tcBorders>
            <w:vAlign w:val="center"/>
          </w:tcPr>
          <w:p w14:paraId="37AFE322">
            <w:pPr>
              <w:pStyle w:val="36"/>
              <w:widowControl w:val="0"/>
              <w:wordWrap/>
              <w:snapToGrid/>
              <w:spacing w:line="240" w:lineRule="auto"/>
              <w:jc w:val="left"/>
              <w:textAlignment w:val="auto"/>
              <w:rPr>
                <w:rFonts w:hint="eastAsia" w:ascii="仿宋" w:hAnsi="仿宋" w:eastAsia="仿宋" w:cs="仿宋"/>
                <w:color w:val="auto"/>
                <w:sz w:val="21"/>
                <w:szCs w:val="21"/>
                <w:lang w:eastAsia="zh-CN"/>
              </w:rPr>
            </w:pPr>
            <w:r>
              <w:rPr>
                <w:rFonts w:hint="eastAsia" w:ascii="仿宋" w:hAnsi="仿宋" w:eastAsia="仿宋" w:cs="仿宋"/>
                <w:color w:val="auto"/>
                <w:sz w:val="21"/>
                <w:szCs w:val="21"/>
                <w:lang w:val="en-US" w:eastAsia="zh-CN"/>
              </w:rPr>
              <w:t>8.</w:t>
            </w:r>
            <w:r>
              <w:rPr>
                <w:rFonts w:hint="eastAsia" w:ascii="仿宋" w:hAnsi="仿宋" w:eastAsia="仿宋" w:cs="仿宋"/>
                <w:color w:val="auto"/>
                <w:sz w:val="21"/>
                <w:szCs w:val="21"/>
              </w:rPr>
              <w:t>居民人均可支配收入增长</w:t>
            </w:r>
            <w:r>
              <w:rPr>
                <w:rFonts w:hint="eastAsia" w:ascii="仿宋" w:hAnsi="仿宋" w:eastAsia="仿宋" w:cs="仿宋"/>
                <w:color w:val="auto"/>
                <w:sz w:val="21"/>
                <w:szCs w:val="21"/>
                <w:lang w:eastAsia="zh-CN"/>
              </w:rPr>
              <w:t>（</w:t>
            </w:r>
            <w:r>
              <w:rPr>
                <w:rFonts w:hint="eastAsia" w:ascii="仿宋" w:hAnsi="仿宋" w:eastAsia="仿宋" w:cs="仿宋"/>
                <w:color w:val="auto"/>
                <w:sz w:val="21"/>
                <w:szCs w:val="21"/>
                <w:lang w:val="en-US" w:eastAsia="zh-CN"/>
              </w:rPr>
              <w:t>%</w:t>
            </w:r>
            <w:r>
              <w:rPr>
                <w:rFonts w:hint="eastAsia" w:ascii="仿宋" w:hAnsi="仿宋" w:eastAsia="仿宋" w:cs="仿宋"/>
                <w:color w:val="auto"/>
                <w:sz w:val="21"/>
                <w:szCs w:val="21"/>
                <w:lang w:eastAsia="zh-CN"/>
              </w:rPr>
              <w:t>）</w:t>
            </w:r>
          </w:p>
        </w:tc>
        <w:tc>
          <w:tcPr>
            <w:tcW w:w="930" w:type="dxa"/>
            <w:tcBorders>
              <w:tl2br w:val="nil"/>
              <w:tr2bl w:val="nil"/>
            </w:tcBorders>
            <w:vAlign w:val="center"/>
          </w:tcPr>
          <w:p w14:paraId="5B4FDCEC">
            <w:pPr>
              <w:pStyle w:val="36"/>
              <w:widowControl w:val="0"/>
              <w:wordWrap/>
              <w:snapToGrid/>
              <w:spacing w:line="240" w:lineRule="auto"/>
              <w:jc w:val="center"/>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4.4</w:t>
            </w:r>
          </w:p>
        </w:tc>
        <w:tc>
          <w:tcPr>
            <w:tcW w:w="885" w:type="dxa"/>
            <w:tcBorders>
              <w:tl2br w:val="nil"/>
              <w:tr2bl w:val="nil"/>
            </w:tcBorders>
            <w:vAlign w:val="center"/>
          </w:tcPr>
          <w:p w14:paraId="5491029D">
            <w:pPr>
              <w:pStyle w:val="36"/>
              <w:widowControl w:val="0"/>
              <w:wordWrap/>
              <w:snapToGrid/>
              <w:spacing w:line="240" w:lineRule="auto"/>
              <w:jc w:val="center"/>
              <w:textAlignment w:val="auto"/>
              <w:rPr>
                <w:rFonts w:hint="default" w:ascii="仿宋" w:hAnsi="仿宋" w:eastAsia="仿宋" w:cs="仿宋"/>
                <w:color w:val="auto"/>
                <w:sz w:val="21"/>
                <w:szCs w:val="21"/>
                <w:highlight w:val="none"/>
                <w:lang w:val="en-US" w:eastAsia="zh-CN"/>
              </w:rPr>
            </w:pPr>
            <w:r>
              <w:rPr>
                <w:rFonts w:hint="eastAsia" w:ascii="仿宋_GB2312" w:eastAsia="仿宋_GB2312"/>
                <w:color w:val="auto"/>
                <w:kern w:val="2"/>
                <w:sz w:val="21"/>
                <w:szCs w:val="22"/>
                <w:highlight w:val="none"/>
                <w:lang w:val="en-US" w:eastAsia="zh-CN" w:bidi="ar-SA"/>
              </w:rPr>
              <w:t>-</w:t>
            </w:r>
          </w:p>
        </w:tc>
        <w:tc>
          <w:tcPr>
            <w:tcW w:w="915" w:type="dxa"/>
            <w:tcBorders>
              <w:tl2br w:val="nil"/>
              <w:tr2bl w:val="nil"/>
            </w:tcBorders>
            <w:vAlign w:val="center"/>
          </w:tcPr>
          <w:p w14:paraId="68E1400A">
            <w:pPr>
              <w:pStyle w:val="36"/>
              <w:widowControl w:val="0"/>
              <w:wordWrap/>
              <w:snapToGrid/>
              <w:spacing w:line="240" w:lineRule="auto"/>
              <w:jc w:val="center"/>
              <w:textAlignment w:val="auto"/>
              <w:rPr>
                <w:rFonts w:hint="default"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6.0左右</w:t>
            </w:r>
          </w:p>
        </w:tc>
        <w:tc>
          <w:tcPr>
            <w:tcW w:w="870" w:type="dxa"/>
            <w:tcBorders>
              <w:tl2br w:val="nil"/>
              <w:tr2bl w:val="nil"/>
            </w:tcBorders>
            <w:vAlign w:val="center"/>
          </w:tcPr>
          <w:p w14:paraId="07E515D2">
            <w:pPr>
              <w:pStyle w:val="36"/>
              <w:widowControl w:val="0"/>
              <w:wordWrap/>
              <w:snapToGrid/>
              <w:spacing w:line="240" w:lineRule="auto"/>
              <w:jc w:val="center"/>
              <w:textAlignment w:val="auto"/>
              <w:rPr>
                <w:rFonts w:hint="eastAsia" w:ascii="仿宋" w:hAnsi="仿宋" w:eastAsia="仿宋" w:cs="仿宋"/>
                <w:color w:val="auto"/>
                <w:sz w:val="21"/>
                <w:szCs w:val="21"/>
                <w:highlight w:val="none"/>
              </w:rPr>
            </w:pPr>
            <w:r>
              <w:rPr>
                <w:rFonts w:hint="eastAsia" w:ascii="仿宋_GB2312" w:eastAsia="仿宋_GB2312"/>
                <w:color w:val="auto"/>
                <w:kern w:val="2"/>
                <w:sz w:val="21"/>
                <w:szCs w:val="22"/>
                <w:highlight w:val="none"/>
                <w:lang w:val="en-US" w:eastAsia="zh-CN" w:bidi="ar-SA"/>
              </w:rPr>
              <w:t>-</w:t>
            </w:r>
          </w:p>
        </w:tc>
        <w:tc>
          <w:tcPr>
            <w:tcW w:w="900" w:type="dxa"/>
            <w:tcBorders>
              <w:tl2br w:val="nil"/>
              <w:tr2bl w:val="nil"/>
            </w:tcBorders>
            <w:vAlign w:val="center"/>
          </w:tcPr>
          <w:p w14:paraId="395B4AD0">
            <w:pPr>
              <w:pStyle w:val="36"/>
              <w:widowControl w:val="0"/>
              <w:wordWrap/>
              <w:snapToGrid/>
              <w:spacing w:line="240" w:lineRule="auto"/>
              <w:jc w:val="center"/>
              <w:textAlignment w:val="auto"/>
              <w:rPr>
                <w:rFonts w:hint="default"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6.5</w:t>
            </w:r>
          </w:p>
        </w:tc>
        <w:tc>
          <w:tcPr>
            <w:tcW w:w="855" w:type="dxa"/>
            <w:tcBorders>
              <w:tl2br w:val="nil"/>
              <w:tr2bl w:val="nil"/>
            </w:tcBorders>
            <w:vAlign w:val="center"/>
          </w:tcPr>
          <w:p w14:paraId="2B84151F">
            <w:pPr>
              <w:pStyle w:val="36"/>
              <w:widowControl w:val="0"/>
              <w:wordWrap/>
              <w:snapToGrid/>
              <w:spacing w:line="240" w:lineRule="auto"/>
              <w:jc w:val="center"/>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预期性</w:t>
            </w:r>
          </w:p>
        </w:tc>
      </w:tr>
      <w:tr w14:paraId="3F0ED0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90" w:type="dxa"/>
            <w:vMerge w:val="restart"/>
            <w:tcBorders>
              <w:tl2br w:val="nil"/>
              <w:tr2bl w:val="nil"/>
            </w:tcBorders>
            <w:vAlign w:val="center"/>
          </w:tcPr>
          <w:p w14:paraId="191E44FE">
            <w:pPr>
              <w:pStyle w:val="36"/>
              <w:widowControl w:val="0"/>
              <w:wordWrap/>
              <w:snapToGrid/>
              <w:spacing w:line="240" w:lineRule="auto"/>
              <w:jc w:val="left"/>
              <w:textAlignment w:val="auto"/>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9.城镇就业</w:t>
            </w:r>
          </w:p>
        </w:tc>
        <w:tc>
          <w:tcPr>
            <w:tcW w:w="2805" w:type="dxa"/>
            <w:tcBorders>
              <w:tl2br w:val="nil"/>
              <w:tr2bl w:val="nil"/>
            </w:tcBorders>
            <w:vAlign w:val="center"/>
          </w:tcPr>
          <w:p w14:paraId="4AC0F7C9">
            <w:pPr>
              <w:pStyle w:val="36"/>
              <w:widowControl w:val="0"/>
              <w:wordWrap/>
              <w:snapToGrid/>
              <w:spacing w:line="240" w:lineRule="auto"/>
              <w:jc w:val="left"/>
              <w:textAlignment w:val="auto"/>
              <w:rPr>
                <w:rFonts w:hint="eastAsia" w:ascii="仿宋" w:hAnsi="仿宋" w:eastAsia="仿宋" w:cs="仿宋"/>
                <w:color w:val="auto"/>
                <w:sz w:val="21"/>
                <w:szCs w:val="21"/>
                <w:lang w:val="en-US" w:eastAsia="zh-CN"/>
              </w:rPr>
            </w:pPr>
            <w:r>
              <w:rPr>
                <w:rFonts w:hint="eastAsia" w:ascii="仿宋_GB2312" w:eastAsia="仿宋_GB2312"/>
                <w:color w:val="auto"/>
              </w:rPr>
              <w:t>城镇新增就业人数</w:t>
            </w:r>
            <w:r>
              <w:rPr>
                <w:rFonts w:hint="eastAsia" w:ascii="仿宋_GB2312" w:eastAsia="仿宋_GB2312"/>
                <w:color w:val="auto"/>
                <w:highlight w:val="none"/>
              </w:rPr>
              <w:t>(</w:t>
            </w:r>
            <w:r>
              <w:rPr>
                <w:rFonts w:hint="eastAsia" w:ascii="仿宋_GB2312" w:eastAsia="仿宋_GB2312"/>
                <w:color w:val="auto"/>
                <w:highlight w:val="none"/>
                <w:lang w:val="en-US" w:eastAsia="zh-CN"/>
              </w:rPr>
              <w:t>万</w:t>
            </w:r>
            <w:r>
              <w:rPr>
                <w:rFonts w:hint="eastAsia" w:ascii="仿宋_GB2312" w:eastAsia="仿宋_GB2312"/>
                <w:color w:val="auto"/>
                <w:highlight w:val="none"/>
              </w:rPr>
              <w:t>)</w:t>
            </w:r>
          </w:p>
        </w:tc>
        <w:tc>
          <w:tcPr>
            <w:tcW w:w="930" w:type="dxa"/>
            <w:tcBorders>
              <w:tl2br w:val="nil"/>
              <w:tr2bl w:val="nil"/>
            </w:tcBorders>
            <w:vAlign w:val="center"/>
          </w:tcPr>
          <w:p w14:paraId="080DC309">
            <w:pPr>
              <w:pStyle w:val="36"/>
              <w:widowControl w:val="0"/>
              <w:wordWrap/>
              <w:snapToGrid/>
              <w:spacing w:line="240" w:lineRule="auto"/>
              <w:jc w:val="center"/>
              <w:textAlignment w:val="auto"/>
              <w:rPr>
                <w:rFonts w:hint="default" w:ascii="仿宋" w:hAnsi="仿宋" w:eastAsia="仿宋" w:cs="仿宋"/>
                <w:color w:val="auto"/>
                <w:sz w:val="21"/>
                <w:szCs w:val="21"/>
                <w:lang w:val="en-US" w:eastAsia="zh-CN"/>
              </w:rPr>
            </w:pPr>
            <w:r>
              <w:rPr>
                <w:rFonts w:hint="eastAsia" w:ascii="仿宋_GB2312" w:eastAsia="仿宋_GB2312"/>
                <w:color w:val="auto"/>
                <w:kern w:val="2"/>
                <w:sz w:val="21"/>
                <w:szCs w:val="22"/>
                <w:lang w:val="en-US" w:eastAsia="zh-CN" w:bidi="ar-SA"/>
              </w:rPr>
              <w:t>7488</w:t>
            </w:r>
          </w:p>
        </w:tc>
        <w:tc>
          <w:tcPr>
            <w:tcW w:w="885" w:type="dxa"/>
            <w:tcBorders>
              <w:tl2br w:val="nil"/>
              <w:tr2bl w:val="nil"/>
            </w:tcBorders>
            <w:vAlign w:val="center"/>
          </w:tcPr>
          <w:p w14:paraId="5F6F01C6">
            <w:pPr>
              <w:wordWrap/>
              <w:snapToGrid/>
              <w:spacing w:line="240" w:lineRule="auto"/>
              <w:jc w:val="center"/>
              <w:textAlignment w:val="auto"/>
              <w:rPr>
                <w:rFonts w:hint="eastAsia" w:ascii="仿宋" w:hAnsi="仿宋" w:eastAsia="仿宋" w:cs="仿宋"/>
                <w:color w:val="auto"/>
                <w:sz w:val="21"/>
                <w:szCs w:val="21"/>
                <w:highlight w:val="none"/>
              </w:rPr>
            </w:pPr>
            <w:r>
              <w:rPr>
                <w:rFonts w:hint="eastAsia" w:ascii="仿宋_GB2312" w:eastAsia="仿宋_GB2312"/>
                <w:color w:val="auto"/>
                <w:kern w:val="2"/>
                <w:sz w:val="21"/>
                <w:szCs w:val="22"/>
                <w:highlight w:val="none"/>
                <w:lang w:val="en-US" w:eastAsia="zh-CN" w:bidi="ar-SA"/>
              </w:rPr>
              <w:t>-</w:t>
            </w:r>
          </w:p>
        </w:tc>
        <w:tc>
          <w:tcPr>
            <w:tcW w:w="915" w:type="dxa"/>
            <w:tcBorders>
              <w:tl2br w:val="nil"/>
              <w:tr2bl w:val="nil"/>
            </w:tcBorders>
            <w:vAlign w:val="center"/>
          </w:tcPr>
          <w:p w14:paraId="70381436">
            <w:pPr>
              <w:pStyle w:val="36"/>
              <w:widowControl w:val="0"/>
              <w:wordWrap/>
              <w:snapToGrid/>
              <w:spacing w:line="240" w:lineRule="auto"/>
              <w:jc w:val="center"/>
              <w:textAlignment w:val="auto"/>
              <w:rPr>
                <w:rFonts w:hint="eastAsia" w:ascii="仿宋" w:hAnsi="仿宋" w:eastAsia="仿宋" w:cs="仿宋"/>
                <w:color w:val="auto"/>
                <w:sz w:val="21"/>
                <w:szCs w:val="21"/>
                <w:highlight w:val="none"/>
              </w:rPr>
            </w:pPr>
            <w:r>
              <w:rPr>
                <w:rFonts w:hint="eastAsia" w:ascii="仿宋_GB2312" w:eastAsia="仿宋_GB2312"/>
                <w:color w:val="auto"/>
                <w:kern w:val="2"/>
                <w:sz w:val="21"/>
                <w:szCs w:val="22"/>
                <w:highlight w:val="none"/>
                <w:lang w:val="en-US" w:eastAsia="zh-CN" w:bidi="ar-SA"/>
              </w:rPr>
              <w:t>-</w:t>
            </w:r>
          </w:p>
        </w:tc>
        <w:tc>
          <w:tcPr>
            <w:tcW w:w="870" w:type="dxa"/>
            <w:tcBorders>
              <w:tl2br w:val="nil"/>
              <w:tr2bl w:val="nil"/>
            </w:tcBorders>
            <w:vAlign w:val="center"/>
          </w:tcPr>
          <w:p w14:paraId="46B3CDBE">
            <w:pPr>
              <w:widowControl w:val="0"/>
              <w:wordWrap/>
              <w:snapToGrid/>
              <w:spacing w:line="240" w:lineRule="auto"/>
              <w:jc w:val="center"/>
              <w:textAlignment w:val="auto"/>
              <w:rPr>
                <w:rFonts w:hint="eastAsia" w:ascii="仿宋" w:hAnsi="仿宋" w:eastAsia="仿宋" w:cs="仿宋"/>
                <w:color w:val="auto"/>
                <w:sz w:val="21"/>
                <w:szCs w:val="21"/>
                <w:highlight w:val="none"/>
              </w:rPr>
            </w:pPr>
            <w:r>
              <w:rPr>
                <w:rFonts w:hint="eastAsia" w:ascii="仿宋_GB2312" w:eastAsia="仿宋_GB2312"/>
                <w:color w:val="auto"/>
                <w:kern w:val="2"/>
                <w:sz w:val="21"/>
                <w:szCs w:val="22"/>
                <w:highlight w:val="none"/>
                <w:lang w:val="en-US" w:eastAsia="zh-CN" w:bidi="ar-SA"/>
              </w:rPr>
              <w:t>-</w:t>
            </w:r>
          </w:p>
        </w:tc>
        <w:tc>
          <w:tcPr>
            <w:tcW w:w="900" w:type="dxa"/>
            <w:tcBorders>
              <w:tl2br w:val="nil"/>
              <w:tr2bl w:val="nil"/>
            </w:tcBorders>
            <w:vAlign w:val="center"/>
          </w:tcPr>
          <w:p w14:paraId="630A68D6">
            <w:pPr>
              <w:widowControl w:val="0"/>
              <w:wordWrap/>
              <w:snapToGrid/>
              <w:spacing w:line="240" w:lineRule="auto"/>
              <w:jc w:val="center"/>
              <w:textAlignment w:val="auto"/>
              <w:rPr>
                <w:rFonts w:hint="eastAsia" w:ascii="仿宋" w:hAnsi="仿宋" w:eastAsia="仿宋" w:cs="仿宋"/>
                <w:color w:val="auto"/>
                <w:sz w:val="21"/>
                <w:szCs w:val="21"/>
                <w:highlight w:val="none"/>
                <w:lang w:val="en-US" w:eastAsia="zh-CN"/>
              </w:rPr>
            </w:pPr>
            <w:r>
              <w:rPr>
                <w:rFonts w:hint="eastAsia" w:ascii="仿宋_GB2312" w:eastAsia="仿宋_GB2312"/>
                <w:color w:val="auto"/>
                <w:kern w:val="2"/>
                <w:sz w:val="21"/>
                <w:szCs w:val="22"/>
                <w:highlight w:val="none"/>
                <w:lang w:val="en-US" w:eastAsia="zh-CN" w:bidi="ar-SA"/>
              </w:rPr>
              <w:t>-</w:t>
            </w:r>
          </w:p>
        </w:tc>
        <w:tc>
          <w:tcPr>
            <w:tcW w:w="855" w:type="dxa"/>
            <w:tcBorders>
              <w:tl2br w:val="nil"/>
              <w:tr2bl w:val="nil"/>
            </w:tcBorders>
            <w:vAlign w:val="center"/>
          </w:tcPr>
          <w:p w14:paraId="038DC357">
            <w:pPr>
              <w:pStyle w:val="36"/>
              <w:widowControl w:val="0"/>
              <w:wordWrap/>
              <w:snapToGrid/>
              <w:spacing w:line="240" w:lineRule="auto"/>
              <w:jc w:val="center"/>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预期性</w:t>
            </w:r>
          </w:p>
        </w:tc>
      </w:tr>
      <w:tr w14:paraId="41104D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jc w:val="center"/>
        </w:trPr>
        <w:tc>
          <w:tcPr>
            <w:tcW w:w="1290" w:type="dxa"/>
            <w:vMerge w:val="continue"/>
            <w:tcBorders>
              <w:tl2br w:val="nil"/>
              <w:tr2bl w:val="nil"/>
            </w:tcBorders>
            <w:vAlign w:val="center"/>
          </w:tcPr>
          <w:p w14:paraId="590C16BC">
            <w:pPr>
              <w:wordWrap/>
              <w:snapToGrid/>
              <w:spacing w:line="240" w:lineRule="auto"/>
              <w:jc w:val="left"/>
              <w:textAlignment w:val="auto"/>
              <w:rPr>
                <w:rFonts w:hint="eastAsia" w:ascii="仿宋_GB2312" w:eastAsia="仿宋_GB2312"/>
                <w:color w:val="auto"/>
                <w:kern w:val="2"/>
                <w:sz w:val="21"/>
                <w:szCs w:val="22"/>
                <w:lang w:val="en-US" w:eastAsia="zh-CN" w:bidi="ar-SA"/>
              </w:rPr>
            </w:pPr>
          </w:p>
        </w:tc>
        <w:tc>
          <w:tcPr>
            <w:tcW w:w="2805" w:type="dxa"/>
            <w:tcBorders>
              <w:tl2br w:val="nil"/>
              <w:tr2bl w:val="nil"/>
            </w:tcBorders>
            <w:vAlign w:val="center"/>
          </w:tcPr>
          <w:p w14:paraId="008647AF">
            <w:pPr>
              <w:wordWrap/>
              <w:snapToGrid/>
              <w:spacing w:line="240" w:lineRule="auto"/>
              <w:jc w:val="left"/>
              <w:textAlignment w:val="auto"/>
              <w:rPr>
                <w:rFonts w:hint="eastAsia" w:ascii="仿宋_GB2312" w:eastAsia="仿宋_GB2312"/>
                <w:color w:val="auto"/>
                <w:lang w:val="en-US" w:eastAsia="zh-CN"/>
              </w:rPr>
            </w:pPr>
            <w:r>
              <w:rPr>
                <w:rFonts w:hint="eastAsia" w:ascii="仿宋" w:hAnsi="仿宋" w:eastAsia="仿宋" w:cs="仿宋"/>
                <w:color w:val="auto"/>
                <w:sz w:val="21"/>
                <w:szCs w:val="21"/>
              </w:rPr>
              <w:t>城镇调查失业率</w:t>
            </w:r>
            <w:r>
              <w:rPr>
                <w:rFonts w:hint="eastAsia" w:ascii="仿宋" w:hAnsi="仿宋" w:eastAsia="仿宋" w:cs="仿宋"/>
                <w:color w:val="auto"/>
                <w:sz w:val="21"/>
                <w:szCs w:val="21"/>
                <w:lang w:eastAsia="zh-CN"/>
              </w:rPr>
              <w:t>（</w:t>
            </w:r>
            <w:r>
              <w:rPr>
                <w:rFonts w:hint="eastAsia" w:ascii="仿宋" w:hAnsi="仿宋" w:eastAsia="仿宋" w:cs="仿宋"/>
                <w:color w:val="auto"/>
                <w:sz w:val="21"/>
                <w:szCs w:val="21"/>
                <w:lang w:val="en-US" w:eastAsia="zh-CN"/>
              </w:rPr>
              <w:t>%</w:t>
            </w:r>
            <w:r>
              <w:rPr>
                <w:rFonts w:hint="eastAsia" w:ascii="仿宋" w:hAnsi="仿宋" w:eastAsia="仿宋" w:cs="仿宋"/>
                <w:color w:val="auto"/>
                <w:sz w:val="21"/>
                <w:szCs w:val="21"/>
                <w:lang w:eastAsia="zh-CN"/>
              </w:rPr>
              <w:t>）</w:t>
            </w:r>
          </w:p>
        </w:tc>
        <w:tc>
          <w:tcPr>
            <w:tcW w:w="930" w:type="dxa"/>
            <w:tcBorders>
              <w:tl2br w:val="nil"/>
              <w:tr2bl w:val="nil"/>
            </w:tcBorders>
            <w:vAlign w:val="center"/>
          </w:tcPr>
          <w:p w14:paraId="580934A4">
            <w:pPr>
              <w:wordWrap/>
              <w:snapToGrid/>
              <w:spacing w:line="240" w:lineRule="auto"/>
              <w:jc w:val="center"/>
              <w:textAlignment w:val="auto"/>
              <w:rPr>
                <w:rFonts w:hint="default" w:ascii="仿宋_GB2312" w:eastAsia="仿宋_GB2312"/>
                <w:color w:val="auto"/>
                <w:kern w:val="2"/>
                <w:sz w:val="21"/>
                <w:szCs w:val="22"/>
                <w:lang w:val="en-US" w:eastAsia="zh-CN" w:bidi="ar-SA"/>
              </w:rPr>
            </w:pPr>
            <w:r>
              <w:rPr>
                <w:rFonts w:hint="eastAsia" w:ascii="仿宋_GB2312" w:eastAsia="仿宋_GB2312"/>
                <w:color w:val="auto"/>
                <w:kern w:val="2"/>
                <w:sz w:val="21"/>
                <w:szCs w:val="22"/>
                <w:lang w:val="en-US" w:eastAsia="zh-CN" w:bidi="ar-SA"/>
              </w:rPr>
              <w:t>3.47</w:t>
            </w:r>
          </w:p>
        </w:tc>
        <w:tc>
          <w:tcPr>
            <w:tcW w:w="885" w:type="dxa"/>
            <w:tcBorders>
              <w:tl2br w:val="nil"/>
              <w:tr2bl w:val="nil"/>
            </w:tcBorders>
            <w:vAlign w:val="center"/>
          </w:tcPr>
          <w:p w14:paraId="05A17631">
            <w:pPr>
              <w:pStyle w:val="36"/>
              <w:widowControl w:val="0"/>
              <w:wordWrap/>
              <w:snapToGrid/>
              <w:spacing w:line="240" w:lineRule="auto"/>
              <w:jc w:val="center"/>
              <w:textAlignment w:val="auto"/>
              <w:rPr>
                <w:rFonts w:hint="default" w:ascii="仿宋_GB2312" w:eastAsia="仿宋_GB2312"/>
                <w:color w:val="auto"/>
                <w:kern w:val="2"/>
                <w:sz w:val="21"/>
                <w:szCs w:val="22"/>
                <w:highlight w:val="none"/>
                <w:lang w:val="en-US" w:eastAsia="zh-CN" w:bidi="ar-SA"/>
              </w:rPr>
            </w:pPr>
            <w:r>
              <w:rPr>
                <w:rFonts w:hint="eastAsia" w:ascii="仿宋_GB2312" w:eastAsia="仿宋_GB2312"/>
                <w:color w:val="auto"/>
                <w:kern w:val="2"/>
                <w:sz w:val="21"/>
                <w:szCs w:val="22"/>
                <w:highlight w:val="none"/>
                <w:lang w:val="en-US" w:eastAsia="zh-CN" w:bidi="ar-SA"/>
              </w:rPr>
              <w:t>-</w:t>
            </w:r>
          </w:p>
        </w:tc>
        <w:tc>
          <w:tcPr>
            <w:tcW w:w="915" w:type="dxa"/>
            <w:tcBorders>
              <w:tl2br w:val="nil"/>
              <w:tr2bl w:val="nil"/>
            </w:tcBorders>
            <w:vAlign w:val="center"/>
          </w:tcPr>
          <w:p w14:paraId="01C80186">
            <w:pPr>
              <w:pStyle w:val="36"/>
              <w:widowControl w:val="0"/>
              <w:wordWrap/>
              <w:snapToGrid/>
              <w:spacing w:line="240" w:lineRule="auto"/>
              <w:jc w:val="center"/>
              <w:textAlignment w:val="auto"/>
              <w:rPr>
                <w:rFonts w:hint="eastAsia" w:ascii="仿宋" w:hAnsi="仿宋" w:eastAsia="仿宋" w:cs="仿宋"/>
                <w:color w:val="auto"/>
                <w:sz w:val="21"/>
                <w:szCs w:val="21"/>
                <w:highlight w:val="none"/>
              </w:rPr>
            </w:pPr>
            <w:r>
              <w:rPr>
                <w:rFonts w:hint="eastAsia" w:ascii="仿宋_GB2312" w:eastAsia="仿宋_GB2312"/>
                <w:color w:val="auto"/>
                <w:kern w:val="2"/>
                <w:sz w:val="21"/>
                <w:szCs w:val="22"/>
                <w:highlight w:val="none"/>
                <w:lang w:val="en-US" w:eastAsia="zh-CN" w:bidi="ar-SA"/>
              </w:rPr>
              <w:t>&lt;5.5</w:t>
            </w:r>
          </w:p>
        </w:tc>
        <w:tc>
          <w:tcPr>
            <w:tcW w:w="870" w:type="dxa"/>
            <w:tcBorders>
              <w:tl2br w:val="nil"/>
              <w:tr2bl w:val="nil"/>
            </w:tcBorders>
            <w:vAlign w:val="center"/>
          </w:tcPr>
          <w:p w14:paraId="7374AAF4">
            <w:pPr>
              <w:widowControl w:val="0"/>
              <w:wordWrap/>
              <w:snapToGrid/>
              <w:spacing w:line="240" w:lineRule="auto"/>
              <w:jc w:val="center"/>
              <w:textAlignment w:val="auto"/>
              <w:rPr>
                <w:rFonts w:hint="eastAsia" w:ascii="仿宋" w:hAnsi="仿宋" w:eastAsia="仿宋" w:cs="仿宋"/>
                <w:color w:val="auto"/>
                <w:sz w:val="21"/>
                <w:szCs w:val="21"/>
                <w:highlight w:val="none"/>
              </w:rPr>
            </w:pPr>
            <w:r>
              <w:rPr>
                <w:rFonts w:hint="eastAsia" w:ascii="仿宋_GB2312" w:eastAsia="仿宋_GB2312"/>
                <w:color w:val="auto"/>
                <w:kern w:val="2"/>
                <w:sz w:val="21"/>
                <w:szCs w:val="22"/>
                <w:highlight w:val="none"/>
                <w:lang w:val="en-US" w:eastAsia="zh-CN" w:bidi="ar-SA"/>
              </w:rPr>
              <w:t>-</w:t>
            </w:r>
          </w:p>
        </w:tc>
        <w:tc>
          <w:tcPr>
            <w:tcW w:w="900" w:type="dxa"/>
            <w:tcBorders>
              <w:tl2br w:val="nil"/>
              <w:tr2bl w:val="nil"/>
            </w:tcBorders>
            <w:vAlign w:val="center"/>
          </w:tcPr>
          <w:p w14:paraId="7EE7E1EE">
            <w:pPr>
              <w:widowControl w:val="0"/>
              <w:wordWrap/>
              <w:snapToGrid/>
              <w:spacing w:line="240" w:lineRule="auto"/>
              <w:jc w:val="center"/>
              <w:textAlignment w:val="auto"/>
              <w:rPr>
                <w:rFonts w:hint="eastAsia" w:ascii="仿宋" w:hAnsi="仿宋" w:eastAsia="仿宋" w:cs="仿宋"/>
                <w:color w:val="auto"/>
                <w:sz w:val="21"/>
                <w:szCs w:val="21"/>
                <w:highlight w:val="none"/>
                <w:lang w:val="en-US" w:eastAsia="zh-CN"/>
              </w:rPr>
            </w:pPr>
            <w:r>
              <w:rPr>
                <w:rFonts w:hint="eastAsia" w:ascii="仿宋_GB2312" w:eastAsia="仿宋_GB2312"/>
                <w:color w:val="auto"/>
                <w:kern w:val="2"/>
                <w:sz w:val="21"/>
                <w:szCs w:val="22"/>
                <w:highlight w:val="none"/>
                <w:lang w:val="en-US" w:eastAsia="zh-CN" w:bidi="ar-SA"/>
              </w:rPr>
              <w:t>-</w:t>
            </w:r>
          </w:p>
        </w:tc>
        <w:tc>
          <w:tcPr>
            <w:tcW w:w="855" w:type="dxa"/>
            <w:tcBorders>
              <w:tl2br w:val="nil"/>
              <w:tr2bl w:val="nil"/>
            </w:tcBorders>
            <w:vAlign w:val="center"/>
          </w:tcPr>
          <w:p w14:paraId="088426B6">
            <w:pPr>
              <w:pStyle w:val="36"/>
              <w:widowControl w:val="0"/>
              <w:wordWrap/>
              <w:snapToGrid/>
              <w:spacing w:line="240" w:lineRule="auto"/>
              <w:jc w:val="center"/>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预期性</w:t>
            </w:r>
          </w:p>
        </w:tc>
      </w:tr>
      <w:tr w14:paraId="35A59E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095" w:type="dxa"/>
            <w:gridSpan w:val="2"/>
            <w:tcBorders>
              <w:tl2br w:val="nil"/>
              <w:tr2bl w:val="nil"/>
            </w:tcBorders>
            <w:vAlign w:val="center"/>
          </w:tcPr>
          <w:p w14:paraId="63521E01">
            <w:pPr>
              <w:pStyle w:val="36"/>
              <w:widowControl w:val="0"/>
              <w:wordWrap/>
              <w:snapToGrid/>
              <w:spacing w:line="240" w:lineRule="auto"/>
              <w:jc w:val="left"/>
              <w:textAlignment w:val="auto"/>
              <w:rPr>
                <w:rFonts w:hint="eastAsia" w:ascii="仿宋" w:hAnsi="仿宋" w:eastAsia="仿宋" w:cs="仿宋"/>
                <w:color w:val="auto"/>
                <w:sz w:val="21"/>
                <w:szCs w:val="21"/>
                <w:lang w:eastAsia="zh-CN"/>
              </w:rPr>
            </w:pPr>
            <w:r>
              <w:rPr>
                <w:rFonts w:hint="eastAsia" w:ascii="仿宋" w:hAnsi="仿宋" w:eastAsia="仿宋" w:cs="仿宋"/>
                <w:color w:val="auto"/>
                <w:sz w:val="21"/>
                <w:szCs w:val="21"/>
                <w:lang w:val="en-US" w:eastAsia="zh-CN"/>
              </w:rPr>
              <w:t>10.</w:t>
            </w:r>
            <w:r>
              <w:rPr>
                <w:rFonts w:hint="eastAsia" w:ascii="仿宋" w:hAnsi="仿宋" w:eastAsia="仿宋" w:cs="仿宋"/>
                <w:color w:val="auto"/>
                <w:sz w:val="21"/>
                <w:szCs w:val="21"/>
              </w:rPr>
              <w:t>劳动年龄人口平均受教育年限</w:t>
            </w:r>
          </w:p>
        </w:tc>
        <w:tc>
          <w:tcPr>
            <w:tcW w:w="930" w:type="dxa"/>
            <w:tcBorders>
              <w:tl2br w:val="nil"/>
              <w:tr2bl w:val="nil"/>
            </w:tcBorders>
            <w:vAlign w:val="center"/>
          </w:tcPr>
          <w:p w14:paraId="558B4C79">
            <w:pPr>
              <w:pStyle w:val="36"/>
              <w:widowControl w:val="0"/>
              <w:wordWrap/>
              <w:snapToGrid/>
              <w:spacing w:line="240" w:lineRule="auto"/>
              <w:jc w:val="center"/>
              <w:textAlignment w:val="auto"/>
              <w:rPr>
                <w:rFonts w:hint="eastAsia" w:ascii="仿宋" w:hAnsi="仿宋" w:eastAsia="仿宋" w:cs="仿宋"/>
                <w:color w:val="auto"/>
                <w:sz w:val="21"/>
                <w:szCs w:val="21"/>
              </w:rPr>
            </w:pPr>
            <w:r>
              <w:rPr>
                <w:rFonts w:hint="eastAsia" w:ascii="仿宋_GB2312" w:eastAsia="仿宋_GB2312"/>
                <w:color w:val="auto"/>
                <w:kern w:val="2"/>
                <w:sz w:val="21"/>
                <w:szCs w:val="22"/>
                <w:highlight w:val="none"/>
                <w:lang w:val="en-US" w:eastAsia="zh-CN" w:bidi="ar-SA"/>
              </w:rPr>
              <w:t>-</w:t>
            </w:r>
          </w:p>
        </w:tc>
        <w:tc>
          <w:tcPr>
            <w:tcW w:w="885" w:type="dxa"/>
            <w:tcBorders>
              <w:tl2br w:val="nil"/>
              <w:tr2bl w:val="nil"/>
            </w:tcBorders>
            <w:vAlign w:val="center"/>
          </w:tcPr>
          <w:p w14:paraId="39E200F3">
            <w:pPr>
              <w:pStyle w:val="36"/>
              <w:widowControl w:val="0"/>
              <w:wordWrap/>
              <w:snapToGrid/>
              <w:spacing w:line="240" w:lineRule="auto"/>
              <w:jc w:val="center"/>
              <w:textAlignment w:val="auto"/>
              <w:rPr>
                <w:rFonts w:hint="default"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11.0左右</w:t>
            </w:r>
          </w:p>
        </w:tc>
        <w:tc>
          <w:tcPr>
            <w:tcW w:w="915" w:type="dxa"/>
            <w:tcBorders>
              <w:tl2br w:val="nil"/>
              <w:tr2bl w:val="nil"/>
            </w:tcBorders>
            <w:vAlign w:val="center"/>
          </w:tcPr>
          <w:p w14:paraId="5699057A">
            <w:pPr>
              <w:widowControl w:val="0"/>
              <w:wordWrap/>
              <w:snapToGrid/>
              <w:spacing w:line="240" w:lineRule="auto"/>
              <w:jc w:val="center"/>
              <w:textAlignment w:val="auto"/>
              <w:rPr>
                <w:rFonts w:hint="eastAsia" w:ascii="仿宋" w:hAnsi="仿宋" w:eastAsia="仿宋" w:cs="仿宋"/>
                <w:color w:val="auto"/>
                <w:sz w:val="21"/>
                <w:szCs w:val="21"/>
                <w:highlight w:val="none"/>
              </w:rPr>
            </w:pPr>
            <w:r>
              <w:rPr>
                <w:rFonts w:hint="eastAsia" w:ascii="仿宋_GB2312" w:eastAsia="仿宋_GB2312"/>
                <w:color w:val="auto"/>
                <w:kern w:val="2"/>
                <w:sz w:val="21"/>
                <w:szCs w:val="22"/>
                <w:highlight w:val="none"/>
                <w:lang w:val="en-US" w:eastAsia="zh-CN" w:bidi="ar-SA"/>
              </w:rPr>
              <w:t>-</w:t>
            </w:r>
          </w:p>
        </w:tc>
        <w:tc>
          <w:tcPr>
            <w:tcW w:w="870" w:type="dxa"/>
            <w:tcBorders>
              <w:tl2br w:val="nil"/>
              <w:tr2bl w:val="nil"/>
            </w:tcBorders>
            <w:vAlign w:val="center"/>
          </w:tcPr>
          <w:p w14:paraId="7092A6E3">
            <w:pPr>
              <w:widowControl w:val="0"/>
              <w:wordWrap/>
              <w:snapToGrid/>
              <w:spacing w:line="240" w:lineRule="auto"/>
              <w:jc w:val="center"/>
              <w:textAlignment w:val="auto"/>
              <w:rPr>
                <w:rFonts w:hint="eastAsia" w:ascii="仿宋" w:hAnsi="仿宋" w:eastAsia="仿宋" w:cs="仿宋"/>
                <w:color w:val="auto"/>
                <w:sz w:val="21"/>
                <w:szCs w:val="21"/>
                <w:highlight w:val="none"/>
                <w:lang w:val="en-US" w:eastAsia="zh-CN"/>
              </w:rPr>
            </w:pPr>
            <w:r>
              <w:rPr>
                <w:rFonts w:hint="eastAsia" w:ascii="仿宋_GB2312" w:eastAsia="仿宋_GB2312"/>
                <w:color w:val="auto"/>
                <w:kern w:val="2"/>
                <w:sz w:val="21"/>
                <w:szCs w:val="22"/>
                <w:highlight w:val="none"/>
                <w:lang w:val="en-US" w:eastAsia="zh-CN" w:bidi="ar-SA"/>
              </w:rPr>
              <w:t>-</w:t>
            </w:r>
          </w:p>
        </w:tc>
        <w:tc>
          <w:tcPr>
            <w:tcW w:w="900" w:type="dxa"/>
            <w:tcBorders>
              <w:tl2br w:val="nil"/>
              <w:tr2bl w:val="nil"/>
            </w:tcBorders>
            <w:vAlign w:val="center"/>
          </w:tcPr>
          <w:p w14:paraId="0DC5F2EF">
            <w:pPr>
              <w:widowControl w:val="0"/>
              <w:wordWrap/>
              <w:snapToGrid/>
              <w:spacing w:line="240" w:lineRule="auto"/>
              <w:jc w:val="center"/>
              <w:textAlignment w:val="auto"/>
              <w:rPr>
                <w:rFonts w:hint="eastAsia" w:ascii="仿宋" w:hAnsi="仿宋" w:eastAsia="仿宋" w:cs="仿宋"/>
                <w:color w:val="auto"/>
                <w:sz w:val="21"/>
                <w:szCs w:val="21"/>
                <w:highlight w:val="none"/>
                <w:lang w:val="en-US" w:eastAsia="zh-CN"/>
              </w:rPr>
            </w:pPr>
            <w:r>
              <w:rPr>
                <w:rFonts w:hint="eastAsia" w:ascii="仿宋_GB2312" w:eastAsia="仿宋_GB2312"/>
                <w:color w:val="auto"/>
                <w:kern w:val="2"/>
                <w:sz w:val="21"/>
                <w:szCs w:val="22"/>
                <w:highlight w:val="none"/>
                <w:lang w:val="en-US" w:eastAsia="zh-CN" w:bidi="ar-SA"/>
              </w:rPr>
              <w:t>-</w:t>
            </w:r>
          </w:p>
        </w:tc>
        <w:tc>
          <w:tcPr>
            <w:tcW w:w="855" w:type="dxa"/>
            <w:tcBorders>
              <w:tl2br w:val="nil"/>
              <w:tr2bl w:val="nil"/>
            </w:tcBorders>
            <w:vAlign w:val="center"/>
          </w:tcPr>
          <w:p w14:paraId="73AD0452">
            <w:pPr>
              <w:pStyle w:val="36"/>
              <w:widowControl w:val="0"/>
              <w:wordWrap/>
              <w:snapToGrid/>
              <w:spacing w:line="240" w:lineRule="auto"/>
              <w:jc w:val="center"/>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约束性</w:t>
            </w:r>
          </w:p>
        </w:tc>
      </w:tr>
      <w:tr w14:paraId="55CC9C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90" w:type="dxa"/>
            <w:vMerge w:val="restart"/>
            <w:tcBorders>
              <w:tl2br w:val="nil"/>
              <w:tr2bl w:val="nil"/>
            </w:tcBorders>
            <w:vAlign w:val="center"/>
          </w:tcPr>
          <w:p w14:paraId="0D1B5C2C">
            <w:pPr>
              <w:pStyle w:val="36"/>
              <w:widowControl w:val="0"/>
              <w:wordWrap/>
              <w:snapToGrid/>
              <w:spacing w:line="240" w:lineRule="auto"/>
              <w:jc w:val="left"/>
              <w:textAlignment w:val="auto"/>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11.每千人口卫生技术人员数</w:t>
            </w:r>
          </w:p>
        </w:tc>
        <w:tc>
          <w:tcPr>
            <w:tcW w:w="2805" w:type="dxa"/>
            <w:tcBorders>
              <w:tl2br w:val="nil"/>
              <w:tr2bl w:val="nil"/>
            </w:tcBorders>
            <w:vAlign w:val="center"/>
          </w:tcPr>
          <w:p w14:paraId="19B251D5">
            <w:pPr>
              <w:pStyle w:val="36"/>
              <w:widowControl w:val="0"/>
              <w:wordWrap/>
              <w:snapToGrid/>
              <w:spacing w:line="240" w:lineRule="auto"/>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rPr>
              <w:t>每千人拥有</w:t>
            </w:r>
            <w:r>
              <w:rPr>
                <w:rFonts w:hint="eastAsia" w:ascii="仿宋" w:hAnsi="仿宋" w:eastAsia="仿宋" w:cs="仿宋"/>
                <w:color w:val="auto"/>
                <w:sz w:val="21"/>
                <w:szCs w:val="21"/>
                <w:lang w:val="en-US" w:eastAsia="zh-CN"/>
              </w:rPr>
              <w:t>执业（助理）医师</w:t>
            </w:r>
            <w:r>
              <w:rPr>
                <w:rFonts w:hint="eastAsia" w:ascii="仿宋" w:hAnsi="仿宋" w:eastAsia="仿宋" w:cs="仿宋"/>
                <w:color w:val="auto"/>
                <w:sz w:val="21"/>
                <w:szCs w:val="21"/>
              </w:rPr>
              <w:t>数</w:t>
            </w:r>
            <w:r>
              <w:rPr>
                <w:rFonts w:hint="eastAsia" w:ascii="仿宋" w:hAnsi="仿宋" w:eastAsia="仿宋" w:cs="仿宋"/>
                <w:color w:val="auto"/>
                <w:sz w:val="21"/>
                <w:szCs w:val="21"/>
                <w:lang w:eastAsia="zh-CN"/>
              </w:rPr>
              <w:t>（</w:t>
            </w:r>
            <w:r>
              <w:rPr>
                <w:rFonts w:hint="eastAsia" w:ascii="仿宋" w:hAnsi="仿宋" w:eastAsia="仿宋" w:cs="仿宋"/>
                <w:color w:val="auto"/>
                <w:sz w:val="21"/>
                <w:szCs w:val="21"/>
                <w:lang w:val="en-US" w:eastAsia="zh-CN"/>
              </w:rPr>
              <w:t>人</w:t>
            </w:r>
            <w:r>
              <w:rPr>
                <w:rFonts w:hint="eastAsia" w:ascii="仿宋" w:hAnsi="仿宋" w:eastAsia="仿宋" w:cs="仿宋"/>
                <w:color w:val="auto"/>
                <w:sz w:val="21"/>
                <w:szCs w:val="21"/>
                <w:lang w:eastAsia="zh-CN"/>
              </w:rPr>
              <w:t>）</w:t>
            </w:r>
          </w:p>
        </w:tc>
        <w:tc>
          <w:tcPr>
            <w:tcW w:w="930" w:type="dxa"/>
            <w:tcBorders>
              <w:tl2br w:val="nil"/>
              <w:tr2bl w:val="nil"/>
            </w:tcBorders>
            <w:vAlign w:val="center"/>
          </w:tcPr>
          <w:p w14:paraId="62059C27">
            <w:pPr>
              <w:pStyle w:val="36"/>
              <w:widowControl w:val="0"/>
              <w:wordWrap/>
              <w:snapToGrid/>
              <w:spacing w:line="240" w:lineRule="auto"/>
              <w:jc w:val="center"/>
              <w:textAlignment w:val="auto"/>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2.35</w:t>
            </w:r>
          </w:p>
        </w:tc>
        <w:tc>
          <w:tcPr>
            <w:tcW w:w="885" w:type="dxa"/>
            <w:tcBorders>
              <w:tl2br w:val="nil"/>
              <w:tr2bl w:val="nil"/>
            </w:tcBorders>
            <w:vAlign w:val="center"/>
          </w:tcPr>
          <w:p w14:paraId="0FA768A8">
            <w:pPr>
              <w:pStyle w:val="36"/>
              <w:widowControl w:val="0"/>
              <w:wordWrap/>
              <w:snapToGrid/>
              <w:spacing w:line="240" w:lineRule="auto"/>
              <w:jc w:val="center"/>
              <w:textAlignment w:val="auto"/>
              <w:rPr>
                <w:rFonts w:hint="default"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3.6</w:t>
            </w:r>
          </w:p>
        </w:tc>
        <w:tc>
          <w:tcPr>
            <w:tcW w:w="915" w:type="dxa"/>
            <w:tcBorders>
              <w:tl2br w:val="nil"/>
              <w:tr2bl w:val="nil"/>
            </w:tcBorders>
            <w:vAlign w:val="center"/>
          </w:tcPr>
          <w:p w14:paraId="0B125FEF">
            <w:pPr>
              <w:widowControl w:val="0"/>
              <w:wordWrap/>
              <w:snapToGrid/>
              <w:spacing w:line="240" w:lineRule="auto"/>
              <w:jc w:val="center"/>
              <w:textAlignment w:val="auto"/>
              <w:rPr>
                <w:rFonts w:hint="eastAsia" w:ascii="仿宋" w:hAnsi="仿宋" w:eastAsia="仿宋" w:cs="仿宋"/>
                <w:color w:val="auto"/>
                <w:sz w:val="21"/>
                <w:szCs w:val="21"/>
                <w:highlight w:val="none"/>
              </w:rPr>
            </w:pPr>
            <w:r>
              <w:rPr>
                <w:rFonts w:hint="eastAsia" w:ascii="仿宋_GB2312" w:eastAsia="仿宋_GB2312"/>
                <w:color w:val="auto"/>
                <w:kern w:val="2"/>
                <w:sz w:val="21"/>
                <w:szCs w:val="22"/>
                <w:highlight w:val="none"/>
                <w:lang w:val="en-US" w:eastAsia="zh-CN" w:bidi="ar-SA"/>
              </w:rPr>
              <w:t>-</w:t>
            </w:r>
          </w:p>
        </w:tc>
        <w:tc>
          <w:tcPr>
            <w:tcW w:w="870" w:type="dxa"/>
            <w:tcBorders>
              <w:tl2br w:val="nil"/>
              <w:tr2bl w:val="nil"/>
            </w:tcBorders>
            <w:vAlign w:val="center"/>
          </w:tcPr>
          <w:p w14:paraId="2E129FC9">
            <w:pPr>
              <w:widowControl w:val="0"/>
              <w:wordWrap/>
              <w:snapToGrid/>
              <w:spacing w:line="240" w:lineRule="auto"/>
              <w:jc w:val="center"/>
              <w:textAlignment w:val="auto"/>
              <w:rPr>
                <w:rFonts w:hint="default"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4.05</w:t>
            </w:r>
          </w:p>
        </w:tc>
        <w:tc>
          <w:tcPr>
            <w:tcW w:w="900" w:type="dxa"/>
            <w:tcBorders>
              <w:tl2br w:val="nil"/>
              <w:tr2bl w:val="nil"/>
            </w:tcBorders>
            <w:vAlign w:val="center"/>
          </w:tcPr>
          <w:p w14:paraId="0885D089">
            <w:pPr>
              <w:widowControl w:val="0"/>
              <w:wordWrap/>
              <w:snapToGrid/>
              <w:spacing w:line="240" w:lineRule="auto"/>
              <w:jc w:val="center"/>
              <w:textAlignment w:val="auto"/>
              <w:rPr>
                <w:rFonts w:hint="eastAsia" w:ascii="仿宋" w:hAnsi="仿宋" w:eastAsia="仿宋" w:cs="仿宋"/>
                <w:color w:val="auto"/>
                <w:sz w:val="21"/>
                <w:szCs w:val="21"/>
                <w:highlight w:val="none"/>
                <w:lang w:val="en-US" w:eastAsia="zh-CN"/>
              </w:rPr>
            </w:pPr>
            <w:r>
              <w:rPr>
                <w:rFonts w:hint="eastAsia" w:ascii="仿宋_GB2312" w:eastAsia="仿宋_GB2312"/>
                <w:color w:val="auto"/>
                <w:kern w:val="2"/>
                <w:sz w:val="21"/>
                <w:szCs w:val="22"/>
                <w:highlight w:val="none"/>
                <w:lang w:val="en-US" w:eastAsia="zh-CN" w:bidi="ar-SA"/>
              </w:rPr>
              <w:t>-</w:t>
            </w:r>
          </w:p>
        </w:tc>
        <w:tc>
          <w:tcPr>
            <w:tcW w:w="855" w:type="dxa"/>
            <w:tcBorders>
              <w:tl2br w:val="nil"/>
              <w:tr2bl w:val="nil"/>
            </w:tcBorders>
            <w:vAlign w:val="center"/>
          </w:tcPr>
          <w:p w14:paraId="23D7E8C7">
            <w:pPr>
              <w:pStyle w:val="36"/>
              <w:widowControl w:val="0"/>
              <w:wordWrap/>
              <w:snapToGrid/>
              <w:spacing w:line="240" w:lineRule="auto"/>
              <w:jc w:val="center"/>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预期性</w:t>
            </w:r>
          </w:p>
        </w:tc>
      </w:tr>
      <w:tr w14:paraId="5881B9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90" w:type="dxa"/>
            <w:vMerge w:val="continue"/>
            <w:tcBorders>
              <w:tl2br w:val="nil"/>
              <w:tr2bl w:val="nil"/>
            </w:tcBorders>
            <w:vAlign w:val="center"/>
          </w:tcPr>
          <w:p w14:paraId="646C4198">
            <w:pPr>
              <w:pStyle w:val="36"/>
              <w:widowControl w:val="0"/>
              <w:wordWrap/>
              <w:snapToGrid/>
              <w:spacing w:line="240" w:lineRule="auto"/>
              <w:jc w:val="left"/>
              <w:textAlignment w:val="auto"/>
              <w:rPr>
                <w:rFonts w:hint="default" w:ascii="仿宋" w:hAnsi="仿宋" w:eastAsia="仿宋" w:cs="仿宋"/>
                <w:color w:val="auto"/>
                <w:kern w:val="0"/>
                <w:sz w:val="21"/>
                <w:szCs w:val="21"/>
                <w:lang w:val="en-US" w:eastAsia="zh-CN" w:bidi="ar-SA"/>
              </w:rPr>
            </w:pPr>
          </w:p>
        </w:tc>
        <w:tc>
          <w:tcPr>
            <w:tcW w:w="2805" w:type="dxa"/>
            <w:tcBorders>
              <w:tl2br w:val="nil"/>
              <w:tr2bl w:val="nil"/>
            </w:tcBorders>
            <w:vAlign w:val="center"/>
          </w:tcPr>
          <w:p w14:paraId="50514717">
            <w:pPr>
              <w:pStyle w:val="36"/>
              <w:widowControl w:val="0"/>
              <w:wordWrap/>
              <w:snapToGrid/>
              <w:spacing w:line="240" w:lineRule="auto"/>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rPr>
              <w:t>每千人</w:t>
            </w:r>
            <w:r>
              <w:rPr>
                <w:rFonts w:hint="eastAsia" w:ascii="仿宋" w:hAnsi="仿宋" w:eastAsia="仿宋" w:cs="仿宋"/>
                <w:color w:val="auto"/>
                <w:sz w:val="21"/>
                <w:szCs w:val="21"/>
                <w:lang w:val="en-US" w:eastAsia="zh-CN"/>
              </w:rPr>
              <w:t>注册护士数（人）</w:t>
            </w:r>
          </w:p>
        </w:tc>
        <w:tc>
          <w:tcPr>
            <w:tcW w:w="930" w:type="dxa"/>
            <w:tcBorders>
              <w:tl2br w:val="nil"/>
              <w:tr2bl w:val="nil"/>
            </w:tcBorders>
            <w:vAlign w:val="center"/>
          </w:tcPr>
          <w:p w14:paraId="48E3512A">
            <w:pPr>
              <w:pStyle w:val="36"/>
              <w:widowControl w:val="0"/>
              <w:wordWrap/>
              <w:snapToGrid/>
              <w:spacing w:line="240" w:lineRule="auto"/>
              <w:jc w:val="center"/>
              <w:textAlignment w:val="auto"/>
              <w:rPr>
                <w:rFonts w:hint="eastAsia" w:ascii="仿宋" w:hAnsi="仿宋" w:eastAsia="仿宋" w:cs="仿宋"/>
                <w:color w:val="auto"/>
                <w:kern w:val="0"/>
                <w:sz w:val="21"/>
                <w:szCs w:val="21"/>
                <w:lang w:val="en-US" w:eastAsia="zh-CN" w:bidi="ar-SA"/>
              </w:rPr>
            </w:pPr>
            <w:r>
              <w:rPr>
                <w:rFonts w:hint="eastAsia" w:ascii="仿宋" w:hAnsi="仿宋" w:eastAsia="仿宋" w:cs="仿宋"/>
                <w:color w:val="auto"/>
                <w:kern w:val="0"/>
                <w:sz w:val="21"/>
                <w:szCs w:val="21"/>
                <w:lang w:val="en-US" w:eastAsia="zh-CN" w:bidi="ar-SA"/>
              </w:rPr>
              <w:t>2.42</w:t>
            </w:r>
          </w:p>
        </w:tc>
        <w:tc>
          <w:tcPr>
            <w:tcW w:w="885" w:type="dxa"/>
            <w:tcBorders>
              <w:tl2br w:val="nil"/>
              <w:tr2bl w:val="nil"/>
            </w:tcBorders>
            <w:vAlign w:val="center"/>
          </w:tcPr>
          <w:p w14:paraId="4ED90E45">
            <w:pPr>
              <w:pStyle w:val="36"/>
              <w:widowControl w:val="0"/>
              <w:wordWrap/>
              <w:snapToGrid/>
              <w:spacing w:line="240" w:lineRule="auto"/>
              <w:jc w:val="center"/>
              <w:textAlignment w:val="auto"/>
              <w:rPr>
                <w:rFonts w:hint="default" w:ascii="仿宋" w:hAnsi="仿宋" w:eastAsia="仿宋" w:cs="仿宋"/>
                <w:color w:val="auto"/>
                <w:kern w:val="0"/>
                <w:sz w:val="21"/>
                <w:szCs w:val="21"/>
                <w:highlight w:val="none"/>
                <w:lang w:val="en-US" w:eastAsia="zh-CN" w:bidi="ar-SA"/>
              </w:rPr>
            </w:pPr>
            <w:r>
              <w:rPr>
                <w:rFonts w:hint="eastAsia" w:ascii="仿宋" w:hAnsi="仿宋" w:eastAsia="仿宋" w:cs="仿宋"/>
                <w:color w:val="auto"/>
                <w:sz w:val="21"/>
                <w:szCs w:val="21"/>
                <w:highlight w:val="none"/>
                <w:lang w:val="en-US" w:eastAsia="zh-CN"/>
              </w:rPr>
              <w:t>&gt;4.3</w:t>
            </w:r>
          </w:p>
        </w:tc>
        <w:tc>
          <w:tcPr>
            <w:tcW w:w="915" w:type="dxa"/>
            <w:tcBorders>
              <w:tl2br w:val="nil"/>
              <w:tr2bl w:val="nil"/>
            </w:tcBorders>
            <w:vAlign w:val="center"/>
          </w:tcPr>
          <w:p w14:paraId="394187DF">
            <w:pPr>
              <w:widowControl w:val="0"/>
              <w:wordWrap/>
              <w:snapToGrid/>
              <w:spacing w:line="240" w:lineRule="auto"/>
              <w:jc w:val="center"/>
              <w:textAlignment w:val="auto"/>
              <w:rPr>
                <w:rFonts w:hint="eastAsia" w:ascii="仿宋" w:hAnsi="仿宋" w:eastAsia="仿宋" w:cs="仿宋"/>
                <w:color w:val="auto"/>
                <w:kern w:val="0"/>
                <w:sz w:val="21"/>
                <w:szCs w:val="21"/>
                <w:highlight w:val="none"/>
                <w:lang w:val="en-US" w:eastAsia="zh-CN" w:bidi="ar-SA"/>
              </w:rPr>
            </w:pPr>
            <w:r>
              <w:rPr>
                <w:rFonts w:hint="eastAsia" w:ascii="仿宋_GB2312" w:eastAsia="仿宋_GB2312"/>
                <w:color w:val="auto"/>
                <w:kern w:val="2"/>
                <w:sz w:val="21"/>
                <w:szCs w:val="22"/>
                <w:highlight w:val="none"/>
                <w:lang w:val="en-US" w:eastAsia="zh-CN" w:bidi="ar-SA"/>
              </w:rPr>
              <w:t>-</w:t>
            </w:r>
          </w:p>
        </w:tc>
        <w:tc>
          <w:tcPr>
            <w:tcW w:w="870" w:type="dxa"/>
            <w:tcBorders>
              <w:tl2br w:val="nil"/>
              <w:tr2bl w:val="nil"/>
            </w:tcBorders>
            <w:vAlign w:val="center"/>
          </w:tcPr>
          <w:p w14:paraId="28C649B3">
            <w:pPr>
              <w:widowControl w:val="0"/>
              <w:wordWrap/>
              <w:snapToGrid/>
              <w:spacing w:line="240" w:lineRule="auto"/>
              <w:jc w:val="center"/>
              <w:textAlignment w:val="auto"/>
              <w:rPr>
                <w:rFonts w:hint="default" w:ascii="仿宋" w:hAnsi="仿宋" w:eastAsia="仿宋" w:cs="仿宋"/>
                <w:color w:val="auto"/>
                <w:kern w:val="0"/>
                <w:sz w:val="21"/>
                <w:szCs w:val="21"/>
                <w:highlight w:val="none"/>
                <w:lang w:val="en-US" w:eastAsia="zh-CN" w:bidi="ar-SA"/>
              </w:rPr>
            </w:pPr>
            <w:r>
              <w:rPr>
                <w:rFonts w:hint="eastAsia" w:ascii="仿宋" w:hAnsi="仿宋" w:eastAsia="仿宋" w:cs="仿宋"/>
                <w:color w:val="auto"/>
                <w:kern w:val="0"/>
                <w:sz w:val="21"/>
                <w:szCs w:val="21"/>
                <w:highlight w:val="none"/>
                <w:lang w:val="en-US" w:eastAsia="zh-CN" w:bidi="ar-SA"/>
              </w:rPr>
              <w:t>4.7</w:t>
            </w:r>
          </w:p>
        </w:tc>
        <w:tc>
          <w:tcPr>
            <w:tcW w:w="900" w:type="dxa"/>
            <w:tcBorders>
              <w:tl2br w:val="nil"/>
              <w:tr2bl w:val="nil"/>
            </w:tcBorders>
            <w:vAlign w:val="center"/>
          </w:tcPr>
          <w:p w14:paraId="07F7BCE4">
            <w:pPr>
              <w:widowControl w:val="0"/>
              <w:wordWrap/>
              <w:snapToGrid/>
              <w:spacing w:line="240" w:lineRule="auto"/>
              <w:jc w:val="center"/>
              <w:textAlignment w:val="auto"/>
              <w:rPr>
                <w:rFonts w:hint="eastAsia" w:ascii="仿宋" w:hAnsi="仿宋" w:eastAsia="仿宋" w:cs="仿宋"/>
                <w:color w:val="auto"/>
                <w:sz w:val="21"/>
                <w:szCs w:val="21"/>
                <w:highlight w:val="none"/>
                <w:lang w:val="en-US" w:eastAsia="zh-CN"/>
              </w:rPr>
            </w:pPr>
            <w:r>
              <w:rPr>
                <w:rFonts w:hint="eastAsia" w:ascii="仿宋_GB2312" w:eastAsia="仿宋_GB2312"/>
                <w:color w:val="auto"/>
                <w:kern w:val="2"/>
                <w:sz w:val="21"/>
                <w:szCs w:val="22"/>
                <w:highlight w:val="none"/>
                <w:lang w:val="en-US" w:eastAsia="zh-CN" w:bidi="ar-SA"/>
              </w:rPr>
              <w:t>-</w:t>
            </w:r>
          </w:p>
        </w:tc>
        <w:tc>
          <w:tcPr>
            <w:tcW w:w="855" w:type="dxa"/>
            <w:tcBorders>
              <w:tl2br w:val="nil"/>
              <w:tr2bl w:val="nil"/>
            </w:tcBorders>
            <w:vAlign w:val="center"/>
          </w:tcPr>
          <w:p w14:paraId="7114501C">
            <w:pPr>
              <w:pStyle w:val="36"/>
              <w:widowControl w:val="0"/>
              <w:wordWrap/>
              <w:snapToGrid/>
              <w:spacing w:line="240" w:lineRule="auto"/>
              <w:jc w:val="center"/>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预期性</w:t>
            </w:r>
          </w:p>
        </w:tc>
      </w:tr>
      <w:tr w14:paraId="215F82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095" w:type="dxa"/>
            <w:gridSpan w:val="2"/>
            <w:tcBorders>
              <w:tl2br w:val="nil"/>
              <w:tr2bl w:val="nil"/>
            </w:tcBorders>
            <w:vAlign w:val="center"/>
          </w:tcPr>
          <w:p w14:paraId="6E2A3598">
            <w:pPr>
              <w:pStyle w:val="36"/>
              <w:widowControl w:val="0"/>
              <w:wordWrap/>
              <w:snapToGrid/>
              <w:spacing w:line="240" w:lineRule="auto"/>
              <w:jc w:val="left"/>
              <w:textAlignment w:val="auto"/>
              <w:rPr>
                <w:rFonts w:hint="eastAsia" w:ascii="仿宋" w:hAnsi="仿宋" w:eastAsia="仿宋" w:cs="仿宋"/>
                <w:color w:val="auto"/>
                <w:sz w:val="21"/>
                <w:szCs w:val="21"/>
                <w:lang w:eastAsia="zh-CN"/>
              </w:rPr>
            </w:pPr>
            <w:r>
              <w:rPr>
                <w:rFonts w:hint="eastAsia" w:ascii="仿宋" w:hAnsi="仿宋" w:eastAsia="仿宋" w:cs="仿宋"/>
                <w:color w:val="auto"/>
                <w:sz w:val="21"/>
                <w:szCs w:val="21"/>
                <w:lang w:val="en-US" w:eastAsia="zh-CN"/>
              </w:rPr>
              <w:t>12.</w:t>
            </w:r>
            <w:r>
              <w:rPr>
                <w:rFonts w:hint="eastAsia" w:ascii="仿宋" w:hAnsi="仿宋" w:eastAsia="仿宋" w:cs="仿宋"/>
                <w:color w:val="auto"/>
                <w:sz w:val="21"/>
                <w:szCs w:val="21"/>
              </w:rPr>
              <w:t>基本养老保险参保率</w:t>
            </w:r>
            <w:r>
              <w:rPr>
                <w:rFonts w:hint="eastAsia" w:ascii="仿宋" w:hAnsi="仿宋" w:eastAsia="仿宋" w:cs="仿宋"/>
                <w:color w:val="auto"/>
                <w:sz w:val="21"/>
                <w:szCs w:val="21"/>
                <w:lang w:eastAsia="zh-CN"/>
              </w:rPr>
              <w:t>（</w:t>
            </w:r>
            <w:r>
              <w:rPr>
                <w:rFonts w:hint="eastAsia" w:ascii="仿宋" w:hAnsi="仿宋" w:eastAsia="仿宋" w:cs="仿宋"/>
                <w:color w:val="auto"/>
                <w:sz w:val="21"/>
                <w:szCs w:val="21"/>
                <w:lang w:val="en-US" w:eastAsia="zh-CN"/>
              </w:rPr>
              <w:t>%</w:t>
            </w:r>
            <w:r>
              <w:rPr>
                <w:rFonts w:hint="eastAsia" w:ascii="仿宋" w:hAnsi="仿宋" w:eastAsia="仿宋" w:cs="仿宋"/>
                <w:color w:val="auto"/>
                <w:sz w:val="21"/>
                <w:szCs w:val="21"/>
                <w:lang w:eastAsia="zh-CN"/>
              </w:rPr>
              <w:t>）</w:t>
            </w:r>
          </w:p>
        </w:tc>
        <w:tc>
          <w:tcPr>
            <w:tcW w:w="930" w:type="dxa"/>
            <w:tcBorders>
              <w:tl2br w:val="nil"/>
              <w:tr2bl w:val="nil"/>
            </w:tcBorders>
            <w:vAlign w:val="center"/>
          </w:tcPr>
          <w:p w14:paraId="6270F096">
            <w:pPr>
              <w:pStyle w:val="36"/>
              <w:widowControl w:val="0"/>
              <w:wordWrap/>
              <w:snapToGrid/>
              <w:spacing w:line="240" w:lineRule="auto"/>
              <w:jc w:val="center"/>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99.2</w:t>
            </w:r>
          </w:p>
        </w:tc>
        <w:tc>
          <w:tcPr>
            <w:tcW w:w="885" w:type="dxa"/>
            <w:tcBorders>
              <w:tl2br w:val="nil"/>
              <w:tr2bl w:val="nil"/>
            </w:tcBorders>
            <w:vAlign w:val="center"/>
          </w:tcPr>
          <w:p w14:paraId="0ABA37AE">
            <w:pPr>
              <w:pStyle w:val="36"/>
              <w:widowControl w:val="0"/>
              <w:wordWrap/>
              <w:snapToGrid/>
              <w:spacing w:line="240" w:lineRule="auto"/>
              <w:jc w:val="center"/>
              <w:textAlignment w:val="auto"/>
              <w:rPr>
                <w:rFonts w:hint="default"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99.9</w:t>
            </w:r>
          </w:p>
        </w:tc>
        <w:tc>
          <w:tcPr>
            <w:tcW w:w="915" w:type="dxa"/>
            <w:tcBorders>
              <w:tl2br w:val="nil"/>
              <w:tr2bl w:val="nil"/>
            </w:tcBorders>
            <w:vAlign w:val="center"/>
          </w:tcPr>
          <w:p w14:paraId="71BB7B72">
            <w:pPr>
              <w:widowControl w:val="0"/>
              <w:wordWrap/>
              <w:snapToGrid/>
              <w:spacing w:line="240" w:lineRule="auto"/>
              <w:jc w:val="center"/>
              <w:textAlignment w:val="auto"/>
              <w:rPr>
                <w:rFonts w:hint="eastAsia" w:ascii="仿宋" w:hAnsi="仿宋" w:eastAsia="仿宋" w:cs="仿宋"/>
                <w:color w:val="auto"/>
                <w:sz w:val="21"/>
                <w:szCs w:val="21"/>
                <w:highlight w:val="none"/>
              </w:rPr>
            </w:pPr>
            <w:r>
              <w:rPr>
                <w:rFonts w:hint="eastAsia" w:ascii="仿宋_GB2312" w:eastAsia="仿宋_GB2312"/>
                <w:color w:val="auto"/>
                <w:kern w:val="2"/>
                <w:sz w:val="21"/>
                <w:szCs w:val="22"/>
                <w:highlight w:val="none"/>
                <w:lang w:val="en-US" w:eastAsia="zh-CN" w:bidi="ar-SA"/>
              </w:rPr>
              <w:t>-</w:t>
            </w:r>
          </w:p>
        </w:tc>
        <w:tc>
          <w:tcPr>
            <w:tcW w:w="870" w:type="dxa"/>
            <w:tcBorders>
              <w:tl2br w:val="nil"/>
              <w:tr2bl w:val="nil"/>
            </w:tcBorders>
            <w:vAlign w:val="center"/>
          </w:tcPr>
          <w:p w14:paraId="427819A1">
            <w:pPr>
              <w:widowControl w:val="0"/>
              <w:wordWrap/>
              <w:snapToGrid/>
              <w:spacing w:line="240" w:lineRule="auto"/>
              <w:jc w:val="center"/>
              <w:textAlignment w:val="auto"/>
              <w:rPr>
                <w:rFonts w:hint="eastAsia" w:ascii="仿宋" w:hAnsi="仿宋" w:eastAsia="仿宋" w:cs="仿宋"/>
                <w:color w:val="auto"/>
                <w:sz w:val="21"/>
                <w:szCs w:val="21"/>
                <w:highlight w:val="none"/>
              </w:rPr>
            </w:pPr>
            <w:r>
              <w:rPr>
                <w:rFonts w:hint="eastAsia" w:ascii="仿宋_GB2312" w:eastAsia="仿宋_GB2312"/>
                <w:color w:val="auto"/>
                <w:kern w:val="2"/>
                <w:sz w:val="21"/>
                <w:szCs w:val="22"/>
                <w:highlight w:val="none"/>
                <w:lang w:val="en-US" w:eastAsia="zh-CN" w:bidi="ar-SA"/>
              </w:rPr>
              <w:t>-</w:t>
            </w:r>
          </w:p>
        </w:tc>
        <w:tc>
          <w:tcPr>
            <w:tcW w:w="900" w:type="dxa"/>
            <w:tcBorders>
              <w:tl2br w:val="nil"/>
              <w:tr2bl w:val="nil"/>
            </w:tcBorders>
            <w:vAlign w:val="center"/>
          </w:tcPr>
          <w:p w14:paraId="07546DBF">
            <w:pPr>
              <w:widowControl w:val="0"/>
              <w:wordWrap/>
              <w:snapToGrid/>
              <w:spacing w:line="240" w:lineRule="auto"/>
              <w:jc w:val="center"/>
              <w:textAlignment w:val="auto"/>
              <w:rPr>
                <w:rFonts w:hint="eastAsia" w:ascii="仿宋" w:hAnsi="仿宋" w:eastAsia="仿宋" w:cs="仿宋"/>
                <w:color w:val="auto"/>
                <w:sz w:val="21"/>
                <w:szCs w:val="21"/>
                <w:highlight w:val="none"/>
                <w:lang w:val="en-US" w:eastAsia="zh-CN"/>
              </w:rPr>
            </w:pPr>
            <w:r>
              <w:rPr>
                <w:rFonts w:hint="eastAsia" w:ascii="仿宋_GB2312" w:eastAsia="仿宋_GB2312"/>
                <w:color w:val="auto"/>
                <w:kern w:val="2"/>
                <w:sz w:val="21"/>
                <w:szCs w:val="22"/>
                <w:highlight w:val="none"/>
                <w:lang w:val="en-US" w:eastAsia="zh-CN" w:bidi="ar-SA"/>
              </w:rPr>
              <w:t>-</w:t>
            </w:r>
          </w:p>
        </w:tc>
        <w:tc>
          <w:tcPr>
            <w:tcW w:w="855" w:type="dxa"/>
            <w:tcBorders>
              <w:tl2br w:val="nil"/>
              <w:tr2bl w:val="nil"/>
            </w:tcBorders>
            <w:vAlign w:val="center"/>
          </w:tcPr>
          <w:p w14:paraId="175C10C8">
            <w:pPr>
              <w:pStyle w:val="36"/>
              <w:widowControl w:val="0"/>
              <w:wordWrap/>
              <w:snapToGrid/>
              <w:spacing w:line="240" w:lineRule="auto"/>
              <w:jc w:val="center"/>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预期性</w:t>
            </w:r>
          </w:p>
        </w:tc>
      </w:tr>
      <w:tr w14:paraId="2C9697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095" w:type="dxa"/>
            <w:gridSpan w:val="2"/>
            <w:tcBorders>
              <w:tl2br w:val="nil"/>
              <w:tr2bl w:val="nil"/>
            </w:tcBorders>
            <w:vAlign w:val="center"/>
          </w:tcPr>
          <w:p w14:paraId="60E4F498">
            <w:pPr>
              <w:pStyle w:val="36"/>
              <w:widowControl w:val="0"/>
              <w:wordWrap/>
              <w:snapToGrid/>
              <w:spacing w:line="240" w:lineRule="auto"/>
              <w:jc w:val="left"/>
              <w:textAlignment w:val="auto"/>
              <w:rPr>
                <w:rFonts w:hint="eastAsia" w:ascii="仿宋" w:hAnsi="仿宋" w:eastAsia="仿宋" w:cs="仿宋"/>
                <w:color w:val="auto"/>
                <w:sz w:val="21"/>
                <w:szCs w:val="21"/>
                <w:lang w:eastAsia="zh-CN"/>
              </w:rPr>
            </w:pPr>
            <w:r>
              <w:rPr>
                <w:rFonts w:hint="eastAsia" w:ascii="仿宋" w:hAnsi="仿宋" w:eastAsia="仿宋" w:cs="仿宋"/>
                <w:color w:val="auto"/>
                <w:sz w:val="21"/>
                <w:szCs w:val="21"/>
                <w:lang w:val="en-US" w:eastAsia="zh-CN"/>
              </w:rPr>
              <w:t>13.</w:t>
            </w:r>
            <w:r>
              <w:rPr>
                <w:rFonts w:hint="eastAsia" w:ascii="仿宋" w:hAnsi="仿宋" w:eastAsia="仿宋" w:cs="仿宋"/>
                <w:color w:val="auto"/>
                <w:sz w:val="21"/>
                <w:szCs w:val="21"/>
              </w:rPr>
              <w:t>每千人口拥有3岁以</w:t>
            </w:r>
            <w:r>
              <w:rPr>
                <w:rFonts w:hint="eastAsia" w:ascii="仿宋" w:hAnsi="仿宋" w:eastAsia="仿宋" w:cs="仿宋"/>
                <w:color w:val="auto"/>
                <w:sz w:val="21"/>
                <w:szCs w:val="21"/>
                <w:lang w:val="en-US" w:eastAsia="zh-CN"/>
              </w:rPr>
              <w:t>下</w:t>
            </w:r>
            <w:r>
              <w:rPr>
                <w:rFonts w:hint="eastAsia" w:ascii="仿宋" w:hAnsi="仿宋" w:eastAsia="仿宋" w:cs="仿宋"/>
                <w:color w:val="auto"/>
                <w:sz w:val="21"/>
                <w:szCs w:val="21"/>
              </w:rPr>
              <w:t>婴幼儿托位数</w:t>
            </w:r>
          </w:p>
        </w:tc>
        <w:tc>
          <w:tcPr>
            <w:tcW w:w="930" w:type="dxa"/>
            <w:tcBorders>
              <w:tl2br w:val="nil"/>
              <w:tr2bl w:val="nil"/>
            </w:tcBorders>
            <w:vAlign w:val="center"/>
          </w:tcPr>
          <w:p w14:paraId="38196746">
            <w:pPr>
              <w:pStyle w:val="36"/>
              <w:widowControl w:val="0"/>
              <w:wordWrap/>
              <w:snapToGrid/>
              <w:spacing w:line="240" w:lineRule="auto"/>
              <w:jc w:val="center"/>
              <w:textAlignment w:val="auto"/>
              <w:rPr>
                <w:rFonts w:hint="default" w:ascii="仿宋" w:hAnsi="仿宋" w:eastAsia="仿宋" w:cs="仿宋"/>
                <w:color w:val="auto"/>
                <w:sz w:val="21"/>
                <w:szCs w:val="21"/>
                <w:lang w:val="en-US"/>
              </w:rPr>
            </w:pPr>
            <w:r>
              <w:rPr>
                <w:rFonts w:hint="eastAsia" w:ascii="仿宋" w:hAnsi="仿宋" w:eastAsia="仿宋" w:cs="仿宋"/>
                <w:color w:val="auto"/>
                <w:sz w:val="21"/>
                <w:szCs w:val="21"/>
                <w:highlight w:val="none"/>
                <w:lang w:val="en-US" w:eastAsia="zh-CN"/>
              </w:rPr>
              <w:t>0.17</w:t>
            </w:r>
          </w:p>
        </w:tc>
        <w:tc>
          <w:tcPr>
            <w:tcW w:w="885" w:type="dxa"/>
            <w:tcBorders>
              <w:tl2br w:val="nil"/>
              <w:tr2bl w:val="nil"/>
            </w:tcBorders>
            <w:vAlign w:val="center"/>
          </w:tcPr>
          <w:p w14:paraId="11631AAC">
            <w:pPr>
              <w:pStyle w:val="36"/>
              <w:widowControl w:val="0"/>
              <w:wordWrap/>
              <w:snapToGrid/>
              <w:spacing w:line="240" w:lineRule="auto"/>
              <w:jc w:val="center"/>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4</w:t>
            </w:r>
          </w:p>
        </w:tc>
        <w:tc>
          <w:tcPr>
            <w:tcW w:w="915" w:type="dxa"/>
            <w:tcBorders>
              <w:tl2br w:val="nil"/>
              <w:tr2bl w:val="nil"/>
            </w:tcBorders>
            <w:vAlign w:val="center"/>
          </w:tcPr>
          <w:p w14:paraId="0AC36A09">
            <w:pPr>
              <w:widowControl w:val="0"/>
              <w:wordWrap/>
              <w:snapToGrid/>
              <w:spacing w:line="240" w:lineRule="auto"/>
              <w:jc w:val="center"/>
              <w:textAlignment w:val="auto"/>
              <w:rPr>
                <w:rFonts w:hint="eastAsia" w:ascii="仿宋" w:hAnsi="仿宋" w:eastAsia="仿宋" w:cs="仿宋"/>
                <w:color w:val="auto"/>
                <w:sz w:val="21"/>
                <w:szCs w:val="21"/>
                <w:highlight w:val="none"/>
              </w:rPr>
            </w:pPr>
            <w:r>
              <w:rPr>
                <w:rFonts w:hint="eastAsia" w:ascii="仿宋_GB2312" w:eastAsia="仿宋_GB2312"/>
                <w:color w:val="auto"/>
                <w:kern w:val="2"/>
                <w:sz w:val="21"/>
                <w:szCs w:val="22"/>
                <w:highlight w:val="none"/>
                <w:lang w:val="en-US" w:eastAsia="zh-CN" w:bidi="ar-SA"/>
              </w:rPr>
              <w:t>-</w:t>
            </w:r>
          </w:p>
        </w:tc>
        <w:tc>
          <w:tcPr>
            <w:tcW w:w="870" w:type="dxa"/>
            <w:tcBorders>
              <w:tl2br w:val="nil"/>
              <w:tr2bl w:val="nil"/>
            </w:tcBorders>
            <w:vAlign w:val="center"/>
          </w:tcPr>
          <w:p w14:paraId="1DA40F9B">
            <w:pPr>
              <w:widowControl w:val="0"/>
              <w:wordWrap/>
              <w:snapToGrid/>
              <w:spacing w:line="240" w:lineRule="auto"/>
              <w:jc w:val="center"/>
              <w:textAlignment w:val="auto"/>
              <w:rPr>
                <w:rFonts w:hint="default" w:ascii="仿宋" w:hAnsi="仿宋" w:eastAsia="仿宋" w:cs="仿宋"/>
                <w:color w:val="auto"/>
                <w:sz w:val="21"/>
                <w:szCs w:val="21"/>
                <w:highlight w:val="none"/>
                <w:lang w:val="en-US"/>
              </w:rPr>
            </w:pPr>
            <w:r>
              <w:rPr>
                <w:rFonts w:hint="eastAsia" w:ascii="仿宋_GB2312" w:eastAsia="仿宋_GB2312"/>
                <w:color w:val="auto"/>
                <w:kern w:val="2"/>
                <w:sz w:val="21"/>
                <w:szCs w:val="22"/>
                <w:highlight w:val="none"/>
                <w:lang w:val="en-US" w:eastAsia="zh-CN" w:bidi="ar-SA"/>
              </w:rPr>
              <w:t>3.9</w:t>
            </w:r>
          </w:p>
        </w:tc>
        <w:tc>
          <w:tcPr>
            <w:tcW w:w="900" w:type="dxa"/>
            <w:tcBorders>
              <w:tl2br w:val="nil"/>
              <w:tr2bl w:val="nil"/>
            </w:tcBorders>
            <w:vAlign w:val="center"/>
          </w:tcPr>
          <w:p w14:paraId="46869CB5">
            <w:pPr>
              <w:widowControl w:val="0"/>
              <w:wordWrap/>
              <w:snapToGrid/>
              <w:spacing w:line="240" w:lineRule="auto"/>
              <w:jc w:val="center"/>
              <w:textAlignment w:val="auto"/>
              <w:rPr>
                <w:rFonts w:hint="eastAsia" w:ascii="仿宋" w:hAnsi="仿宋" w:eastAsia="仿宋" w:cs="仿宋"/>
                <w:color w:val="auto"/>
                <w:sz w:val="21"/>
                <w:szCs w:val="21"/>
                <w:highlight w:val="none"/>
                <w:lang w:val="en-US" w:eastAsia="zh-CN"/>
              </w:rPr>
            </w:pPr>
            <w:r>
              <w:rPr>
                <w:rFonts w:hint="eastAsia" w:ascii="仿宋_GB2312" w:eastAsia="仿宋_GB2312"/>
                <w:color w:val="auto"/>
                <w:kern w:val="2"/>
                <w:sz w:val="21"/>
                <w:szCs w:val="22"/>
                <w:highlight w:val="none"/>
                <w:lang w:val="en-US" w:eastAsia="zh-CN" w:bidi="ar-SA"/>
              </w:rPr>
              <w:t>-</w:t>
            </w:r>
          </w:p>
        </w:tc>
        <w:tc>
          <w:tcPr>
            <w:tcW w:w="855" w:type="dxa"/>
            <w:tcBorders>
              <w:tl2br w:val="nil"/>
              <w:tr2bl w:val="nil"/>
            </w:tcBorders>
            <w:vAlign w:val="center"/>
          </w:tcPr>
          <w:p w14:paraId="0E96FB34">
            <w:pPr>
              <w:pStyle w:val="36"/>
              <w:widowControl w:val="0"/>
              <w:wordWrap/>
              <w:snapToGrid/>
              <w:spacing w:line="240" w:lineRule="auto"/>
              <w:jc w:val="center"/>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预期性</w:t>
            </w:r>
          </w:p>
        </w:tc>
      </w:tr>
      <w:tr w14:paraId="5257C3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095" w:type="dxa"/>
            <w:gridSpan w:val="2"/>
            <w:tcBorders>
              <w:tl2br w:val="nil"/>
              <w:tr2bl w:val="nil"/>
            </w:tcBorders>
            <w:vAlign w:val="center"/>
          </w:tcPr>
          <w:p w14:paraId="061F679E">
            <w:pPr>
              <w:pStyle w:val="36"/>
              <w:widowControl w:val="0"/>
              <w:wordWrap/>
              <w:snapToGrid/>
              <w:spacing w:line="240" w:lineRule="auto"/>
              <w:jc w:val="left"/>
              <w:textAlignment w:val="auto"/>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14.</w:t>
            </w:r>
            <w:r>
              <w:rPr>
                <w:rFonts w:hint="eastAsia" w:ascii="仿宋" w:hAnsi="仿宋" w:eastAsia="仿宋" w:cs="仿宋"/>
                <w:color w:val="auto"/>
                <w:sz w:val="21"/>
                <w:szCs w:val="21"/>
              </w:rPr>
              <w:t>人均预期寿命</w:t>
            </w:r>
            <w:r>
              <w:rPr>
                <w:rFonts w:hint="eastAsia" w:ascii="仿宋" w:hAnsi="仿宋" w:eastAsia="仿宋" w:cs="仿宋"/>
                <w:color w:val="auto"/>
                <w:sz w:val="21"/>
                <w:szCs w:val="21"/>
                <w:lang w:eastAsia="zh-CN"/>
              </w:rPr>
              <w:t>（</w:t>
            </w:r>
            <w:r>
              <w:rPr>
                <w:rFonts w:hint="eastAsia" w:ascii="仿宋" w:hAnsi="仿宋" w:eastAsia="仿宋" w:cs="仿宋"/>
                <w:color w:val="auto"/>
                <w:sz w:val="21"/>
                <w:szCs w:val="21"/>
                <w:lang w:val="en-US" w:eastAsia="zh-CN"/>
              </w:rPr>
              <w:t>岁</w:t>
            </w:r>
            <w:r>
              <w:rPr>
                <w:rFonts w:hint="eastAsia" w:ascii="仿宋" w:hAnsi="仿宋" w:eastAsia="仿宋" w:cs="仿宋"/>
                <w:color w:val="auto"/>
                <w:sz w:val="21"/>
                <w:szCs w:val="21"/>
                <w:lang w:eastAsia="zh-CN"/>
              </w:rPr>
              <w:t>）</w:t>
            </w:r>
          </w:p>
        </w:tc>
        <w:tc>
          <w:tcPr>
            <w:tcW w:w="930" w:type="dxa"/>
            <w:tcBorders>
              <w:tl2br w:val="nil"/>
              <w:tr2bl w:val="nil"/>
            </w:tcBorders>
            <w:vAlign w:val="center"/>
          </w:tcPr>
          <w:p w14:paraId="62BFF361">
            <w:pPr>
              <w:widowControl w:val="0"/>
              <w:wordWrap/>
              <w:snapToGrid/>
              <w:spacing w:line="240" w:lineRule="auto"/>
              <w:jc w:val="center"/>
              <w:textAlignment w:val="auto"/>
              <w:rPr>
                <w:rFonts w:hint="eastAsia" w:ascii="仿宋" w:hAnsi="仿宋" w:eastAsia="仿宋" w:cs="仿宋"/>
                <w:color w:val="auto"/>
                <w:sz w:val="21"/>
                <w:szCs w:val="21"/>
              </w:rPr>
            </w:pPr>
            <w:r>
              <w:rPr>
                <w:rFonts w:hint="eastAsia" w:ascii="仿宋_GB2312" w:eastAsia="仿宋_GB2312"/>
                <w:color w:val="auto"/>
                <w:kern w:val="2"/>
                <w:sz w:val="21"/>
                <w:szCs w:val="22"/>
                <w:highlight w:val="none"/>
                <w:lang w:val="en-US" w:eastAsia="zh-CN" w:bidi="ar-SA"/>
              </w:rPr>
              <w:t>-</w:t>
            </w:r>
          </w:p>
        </w:tc>
        <w:tc>
          <w:tcPr>
            <w:tcW w:w="885" w:type="dxa"/>
            <w:tcBorders>
              <w:tl2br w:val="nil"/>
              <w:tr2bl w:val="nil"/>
            </w:tcBorders>
            <w:vAlign w:val="center"/>
          </w:tcPr>
          <w:p w14:paraId="1F1FAEC6">
            <w:pPr>
              <w:widowControl w:val="0"/>
              <w:wordWrap/>
              <w:snapToGrid/>
              <w:spacing w:line="240" w:lineRule="auto"/>
              <w:jc w:val="center"/>
              <w:textAlignment w:val="auto"/>
              <w:rPr>
                <w:rFonts w:hint="eastAsia" w:ascii="仿宋" w:hAnsi="仿宋" w:eastAsia="仿宋" w:cs="仿宋"/>
                <w:color w:val="auto"/>
                <w:sz w:val="21"/>
                <w:szCs w:val="21"/>
                <w:highlight w:val="none"/>
              </w:rPr>
            </w:pPr>
            <w:r>
              <w:rPr>
                <w:rFonts w:hint="eastAsia" w:ascii="仿宋_GB2312" w:eastAsia="仿宋_GB2312"/>
                <w:color w:val="auto"/>
                <w:kern w:val="2"/>
                <w:sz w:val="21"/>
                <w:szCs w:val="22"/>
                <w:highlight w:val="none"/>
                <w:lang w:val="en-US" w:eastAsia="zh-CN" w:bidi="ar-SA"/>
              </w:rPr>
              <w:t>-</w:t>
            </w:r>
          </w:p>
        </w:tc>
        <w:tc>
          <w:tcPr>
            <w:tcW w:w="915" w:type="dxa"/>
            <w:tcBorders>
              <w:tl2br w:val="nil"/>
              <w:tr2bl w:val="nil"/>
            </w:tcBorders>
            <w:vAlign w:val="center"/>
          </w:tcPr>
          <w:p w14:paraId="32E98E61">
            <w:pPr>
              <w:pStyle w:val="36"/>
              <w:widowControl w:val="0"/>
              <w:wordWrap/>
              <w:snapToGrid/>
              <w:spacing w:line="240" w:lineRule="auto"/>
              <w:jc w:val="center"/>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w:t>
            </w:r>
          </w:p>
        </w:tc>
        <w:tc>
          <w:tcPr>
            <w:tcW w:w="870" w:type="dxa"/>
            <w:tcBorders>
              <w:tl2br w:val="nil"/>
              <w:tr2bl w:val="nil"/>
            </w:tcBorders>
            <w:vAlign w:val="center"/>
          </w:tcPr>
          <w:p w14:paraId="66CBFE1D">
            <w:pPr>
              <w:widowControl w:val="0"/>
              <w:wordWrap/>
              <w:snapToGrid/>
              <w:spacing w:line="240" w:lineRule="auto"/>
              <w:jc w:val="center"/>
              <w:textAlignment w:val="auto"/>
              <w:rPr>
                <w:rFonts w:hint="eastAsia" w:ascii="仿宋" w:hAnsi="仿宋" w:eastAsia="仿宋" w:cs="仿宋"/>
                <w:color w:val="auto"/>
                <w:sz w:val="21"/>
                <w:szCs w:val="21"/>
                <w:highlight w:val="none"/>
              </w:rPr>
            </w:pPr>
            <w:r>
              <w:rPr>
                <w:rFonts w:hint="eastAsia" w:ascii="仿宋_GB2312" w:eastAsia="仿宋_GB2312"/>
                <w:color w:val="auto"/>
                <w:kern w:val="2"/>
                <w:sz w:val="21"/>
                <w:szCs w:val="22"/>
                <w:highlight w:val="none"/>
                <w:lang w:val="en-US" w:eastAsia="zh-CN" w:bidi="ar-SA"/>
              </w:rPr>
              <w:t>-</w:t>
            </w:r>
          </w:p>
        </w:tc>
        <w:tc>
          <w:tcPr>
            <w:tcW w:w="900" w:type="dxa"/>
            <w:tcBorders>
              <w:tl2br w:val="nil"/>
              <w:tr2bl w:val="nil"/>
            </w:tcBorders>
            <w:vAlign w:val="center"/>
          </w:tcPr>
          <w:p w14:paraId="74A9359D">
            <w:pPr>
              <w:widowControl w:val="0"/>
              <w:wordWrap/>
              <w:snapToGrid/>
              <w:spacing w:line="240" w:lineRule="auto"/>
              <w:jc w:val="center"/>
              <w:textAlignment w:val="auto"/>
              <w:rPr>
                <w:rFonts w:hint="eastAsia" w:ascii="仿宋" w:hAnsi="仿宋" w:eastAsia="仿宋" w:cs="仿宋"/>
                <w:color w:val="auto"/>
                <w:sz w:val="21"/>
                <w:szCs w:val="21"/>
                <w:highlight w:val="none"/>
                <w:lang w:val="en-US" w:eastAsia="zh-CN"/>
              </w:rPr>
            </w:pPr>
            <w:r>
              <w:rPr>
                <w:rFonts w:hint="eastAsia" w:ascii="仿宋_GB2312" w:eastAsia="仿宋_GB2312"/>
                <w:color w:val="auto"/>
                <w:kern w:val="2"/>
                <w:sz w:val="21"/>
                <w:szCs w:val="22"/>
                <w:highlight w:val="none"/>
                <w:lang w:val="en-US" w:eastAsia="zh-CN" w:bidi="ar-SA"/>
              </w:rPr>
              <w:t>-</w:t>
            </w:r>
          </w:p>
        </w:tc>
        <w:tc>
          <w:tcPr>
            <w:tcW w:w="855" w:type="dxa"/>
            <w:tcBorders>
              <w:tl2br w:val="nil"/>
              <w:tr2bl w:val="nil"/>
            </w:tcBorders>
            <w:vAlign w:val="center"/>
          </w:tcPr>
          <w:p w14:paraId="141E87E5">
            <w:pPr>
              <w:pStyle w:val="36"/>
              <w:widowControl w:val="0"/>
              <w:wordWrap/>
              <w:snapToGrid/>
              <w:spacing w:line="240" w:lineRule="auto"/>
              <w:jc w:val="center"/>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预期性</w:t>
            </w:r>
          </w:p>
        </w:tc>
      </w:tr>
      <w:tr w14:paraId="23742C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50" w:type="dxa"/>
            <w:gridSpan w:val="8"/>
            <w:tcBorders>
              <w:tl2br w:val="nil"/>
              <w:tr2bl w:val="nil"/>
            </w:tcBorders>
            <w:vAlign w:val="center"/>
          </w:tcPr>
          <w:p w14:paraId="458A3DE4">
            <w:pPr>
              <w:pStyle w:val="36"/>
              <w:widowControl w:val="0"/>
              <w:wordWrap/>
              <w:snapToGrid/>
              <w:spacing w:line="240" w:lineRule="auto"/>
              <w:jc w:val="center"/>
              <w:textAlignment w:val="auto"/>
              <w:rPr>
                <w:rFonts w:hint="eastAsia" w:ascii="仿宋" w:hAnsi="仿宋" w:eastAsia="仿宋" w:cs="仿宋"/>
                <w:b/>
                <w:bCs/>
                <w:color w:val="auto"/>
                <w:sz w:val="21"/>
                <w:szCs w:val="21"/>
                <w:highlight w:val="none"/>
                <w:lang w:val="en-US" w:eastAsia="zh-CN"/>
              </w:rPr>
            </w:pPr>
            <w:r>
              <w:rPr>
                <w:rFonts w:hint="eastAsia" w:ascii="仿宋" w:hAnsi="仿宋" w:eastAsia="仿宋" w:cs="仿宋"/>
                <w:b/>
                <w:bCs/>
                <w:color w:val="auto"/>
                <w:sz w:val="21"/>
                <w:szCs w:val="21"/>
                <w:highlight w:val="none"/>
                <w:lang w:val="en-US" w:eastAsia="zh-CN"/>
              </w:rPr>
              <w:t>四、</w:t>
            </w:r>
            <w:r>
              <w:rPr>
                <w:rFonts w:hint="eastAsia" w:ascii="仿宋" w:hAnsi="仿宋" w:eastAsia="仿宋" w:cs="仿宋"/>
                <w:b/>
                <w:bCs/>
                <w:color w:val="auto"/>
                <w:sz w:val="21"/>
                <w:szCs w:val="21"/>
                <w:highlight w:val="none"/>
              </w:rPr>
              <w:t>绿色生态</w:t>
            </w:r>
          </w:p>
        </w:tc>
      </w:tr>
      <w:tr w14:paraId="7F6F60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095" w:type="dxa"/>
            <w:gridSpan w:val="2"/>
            <w:tcBorders>
              <w:tl2br w:val="nil"/>
              <w:tr2bl w:val="nil"/>
            </w:tcBorders>
            <w:vAlign w:val="center"/>
          </w:tcPr>
          <w:p w14:paraId="4D5A8EBB">
            <w:pPr>
              <w:pStyle w:val="36"/>
              <w:widowControl w:val="0"/>
              <w:wordWrap/>
              <w:snapToGrid/>
              <w:spacing w:line="240" w:lineRule="auto"/>
              <w:jc w:val="left"/>
              <w:textAlignment w:val="auto"/>
              <w:rPr>
                <w:rFonts w:hint="eastAsia" w:ascii="仿宋" w:hAnsi="仿宋" w:eastAsia="仿宋" w:cs="仿宋"/>
                <w:color w:val="auto"/>
                <w:sz w:val="21"/>
                <w:szCs w:val="21"/>
                <w:lang w:eastAsia="zh-CN"/>
              </w:rPr>
            </w:pPr>
            <w:r>
              <w:rPr>
                <w:rFonts w:hint="eastAsia" w:ascii="仿宋" w:hAnsi="仿宋" w:eastAsia="仿宋" w:cs="仿宋"/>
                <w:color w:val="auto"/>
                <w:sz w:val="21"/>
                <w:szCs w:val="21"/>
                <w:lang w:val="en-US" w:eastAsia="zh-CN"/>
              </w:rPr>
              <w:t>15.</w:t>
            </w:r>
            <w:r>
              <w:rPr>
                <w:rFonts w:hint="eastAsia" w:ascii="仿宋" w:hAnsi="仿宋" w:eastAsia="仿宋" w:cs="仿宋"/>
                <w:color w:val="auto"/>
                <w:sz w:val="21"/>
                <w:szCs w:val="21"/>
              </w:rPr>
              <w:t>单位</w:t>
            </w:r>
            <w:r>
              <w:rPr>
                <w:rFonts w:hint="eastAsia" w:ascii="仿宋" w:hAnsi="仿宋" w:eastAsia="仿宋" w:cs="仿宋"/>
                <w:color w:val="auto"/>
                <w:sz w:val="21"/>
                <w:szCs w:val="21"/>
                <w:lang w:val="en-US" w:eastAsia="zh-CN"/>
              </w:rPr>
              <w:t>地区生产总值能源消耗降低</w:t>
            </w:r>
            <w:r>
              <w:rPr>
                <w:rFonts w:hint="eastAsia" w:ascii="仿宋" w:hAnsi="仿宋" w:eastAsia="仿宋" w:cs="仿宋"/>
                <w:color w:val="auto"/>
                <w:sz w:val="21"/>
                <w:szCs w:val="21"/>
                <w:lang w:eastAsia="zh-CN"/>
              </w:rPr>
              <w:t>（</w:t>
            </w:r>
            <w:r>
              <w:rPr>
                <w:rFonts w:hint="eastAsia" w:ascii="仿宋" w:hAnsi="仿宋" w:eastAsia="仿宋" w:cs="仿宋"/>
                <w:color w:val="auto"/>
                <w:sz w:val="21"/>
                <w:szCs w:val="21"/>
                <w:lang w:val="en-US" w:eastAsia="zh-CN"/>
              </w:rPr>
              <w:t>%</w:t>
            </w:r>
            <w:r>
              <w:rPr>
                <w:rFonts w:hint="eastAsia" w:ascii="仿宋" w:hAnsi="仿宋" w:eastAsia="仿宋" w:cs="仿宋"/>
                <w:color w:val="auto"/>
                <w:sz w:val="21"/>
                <w:szCs w:val="21"/>
                <w:lang w:eastAsia="zh-CN"/>
              </w:rPr>
              <w:t>）</w:t>
            </w:r>
          </w:p>
        </w:tc>
        <w:tc>
          <w:tcPr>
            <w:tcW w:w="930" w:type="dxa"/>
            <w:tcBorders>
              <w:tl2br w:val="nil"/>
              <w:tr2bl w:val="nil"/>
            </w:tcBorders>
            <w:vAlign w:val="center"/>
          </w:tcPr>
          <w:p w14:paraId="28318FBC">
            <w:pPr>
              <w:widowControl w:val="0"/>
              <w:wordWrap/>
              <w:snapToGrid/>
              <w:spacing w:line="240" w:lineRule="auto"/>
              <w:jc w:val="center"/>
              <w:textAlignment w:val="auto"/>
              <w:rPr>
                <w:rFonts w:hint="eastAsia" w:ascii="仿宋" w:hAnsi="仿宋" w:eastAsia="仿宋" w:cs="仿宋"/>
                <w:color w:val="auto"/>
                <w:sz w:val="21"/>
                <w:szCs w:val="21"/>
              </w:rPr>
            </w:pPr>
            <w:r>
              <w:rPr>
                <w:rFonts w:hint="eastAsia" w:ascii="仿宋_GB2312" w:eastAsia="仿宋_GB2312"/>
                <w:color w:val="auto"/>
                <w:kern w:val="2"/>
                <w:sz w:val="21"/>
                <w:szCs w:val="22"/>
                <w:highlight w:val="none"/>
                <w:lang w:val="en-US" w:eastAsia="zh-CN" w:bidi="ar-SA"/>
              </w:rPr>
              <w:t>-</w:t>
            </w:r>
          </w:p>
        </w:tc>
        <w:tc>
          <w:tcPr>
            <w:tcW w:w="885" w:type="dxa"/>
            <w:tcBorders>
              <w:tl2br w:val="nil"/>
              <w:tr2bl w:val="nil"/>
            </w:tcBorders>
            <w:vAlign w:val="center"/>
          </w:tcPr>
          <w:p w14:paraId="47F68D4B">
            <w:pPr>
              <w:widowControl w:val="0"/>
              <w:wordWrap/>
              <w:snapToGrid/>
              <w:spacing w:line="240" w:lineRule="auto"/>
              <w:jc w:val="center"/>
              <w:textAlignment w:val="auto"/>
              <w:rPr>
                <w:rFonts w:hint="default" w:ascii="仿宋" w:hAnsi="仿宋" w:eastAsia="仿宋" w:cs="仿宋"/>
                <w:color w:val="auto"/>
                <w:sz w:val="21"/>
                <w:szCs w:val="21"/>
                <w:highlight w:val="none"/>
                <w:lang w:val="en-US" w:eastAsia="zh-CN"/>
              </w:rPr>
            </w:pPr>
            <w:r>
              <w:rPr>
                <w:rFonts w:hint="eastAsia" w:ascii="仿宋_GB2312" w:eastAsia="仿宋_GB2312"/>
                <w:color w:val="auto"/>
                <w:kern w:val="2"/>
                <w:sz w:val="21"/>
                <w:szCs w:val="22"/>
                <w:highlight w:val="none"/>
                <w:lang w:val="en-US" w:eastAsia="zh-CN" w:bidi="ar-SA"/>
              </w:rPr>
              <w:t>-</w:t>
            </w:r>
          </w:p>
        </w:tc>
        <w:tc>
          <w:tcPr>
            <w:tcW w:w="915" w:type="dxa"/>
            <w:tcBorders>
              <w:tl2br w:val="nil"/>
              <w:tr2bl w:val="nil"/>
            </w:tcBorders>
            <w:vAlign w:val="center"/>
          </w:tcPr>
          <w:p w14:paraId="15F3CB6E">
            <w:pPr>
              <w:pStyle w:val="36"/>
              <w:widowControl w:val="0"/>
              <w:wordWrap/>
              <w:snapToGrid/>
              <w:spacing w:line="240" w:lineRule="auto"/>
              <w:jc w:val="center"/>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不低于省市下达目标</w:t>
            </w:r>
          </w:p>
        </w:tc>
        <w:tc>
          <w:tcPr>
            <w:tcW w:w="870" w:type="dxa"/>
            <w:tcBorders>
              <w:tl2br w:val="nil"/>
              <w:tr2bl w:val="nil"/>
            </w:tcBorders>
            <w:vAlign w:val="center"/>
          </w:tcPr>
          <w:p w14:paraId="37C392F2">
            <w:pPr>
              <w:pStyle w:val="36"/>
              <w:widowControl w:val="0"/>
              <w:wordWrap/>
              <w:snapToGrid/>
              <w:spacing w:line="240" w:lineRule="auto"/>
              <w:jc w:val="center"/>
              <w:textAlignment w:val="auto"/>
              <w:rPr>
                <w:rFonts w:hint="eastAsia" w:ascii="仿宋" w:hAnsi="仿宋" w:eastAsia="仿宋" w:cs="仿宋"/>
                <w:color w:val="auto"/>
                <w:sz w:val="21"/>
                <w:szCs w:val="21"/>
                <w:highlight w:val="none"/>
              </w:rPr>
            </w:pPr>
            <w:r>
              <w:rPr>
                <w:rFonts w:hint="eastAsia" w:ascii="仿宋_GB2312" w:eastAsia="仿宋_GB2312"/>
                <w:color w:val="auto"/>
                <w:kern w:val="2"/>
                <w:sz w:val="21"/>
                <w:szCs w:val="22"/>
                <w:highlight w:val="none"/>
                <w:lang w:val="en-US" w:eastAsia="zh-CN" w:bidi="ar-SA"/>
              </w:rPr>
              <w:t>-</w:t>
            </w:r>
          </w:p>
        </w:tc>
        <w:tc>
          <w:tcPr>
            <w:tcW w:w="900" w:type="dxa"/>
            <w:tcBorders>
              <w:tl2br w:val="nil"/>
              <w:tr2bl w:val="nil"/>
            </w:tcBorders>
            <w:vAlign w:val="center"/>
          </w:tcPr>
          <w:p w14:paraId="083FD166">
            <w:pPr>
              <w:widowControl w:val="0"/>
              <w:wordWrap/>
              <w:snapToGrid/>
              <w:spacing w:line="240" w:lineRule="auto"/>
              <w:jc w:val="center"/>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lang w:val="en-US" w:eastAsia="zh-CN"/>
              </w:rPr>
              <w:t>完成目标</w:t>
            </w:r>
          </w:p>
        </w:tc>
        <w:tc>
          <w:tcPr>
            <w:tcW w:w="855" w:type="dxa"/>
            <w:tcBorders>
              <w:tl2br w:val="nil"/>
              <w:tr2bl w:val="nil"/>
            </w:tcBorders>
            <w:vAlign w:val="center"/>
          </w:tcPr>
          <w:p w14:paraId="5E897E41">
            <w:pPr>
              <w:pStyle w:val="36"/>
              <w:widowControl w:val="0"/>
              <w:wordWrap/>
              <w:snapToGrid/>
              <w:spacing w:line="240" w:lineRule="auto"/>
              <w:jc w:val="center"/>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约束性</w:t>
            </w:r>
          </w:p>
        </w:tc>
      </w:tr>
      <w:tr w14:paraId="555C25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095" w:type="dxa"/>
            <w:gridSpan w:val="2"/>
            <w:tcBorders>
              <w:tl2br w:val="nil"/>
              <w:tr2bl w:val="nil"/>
            </w:tcBorders>
            <w:vAlign w:val="center"/>
          </w:tcPr>
          <w:p w14:paraId="245357E7">
            <w:pPr>
              <w:pStyle w:val="36"/>
              <w:widowControl w:val="0"/>
              <w:wordWrap/>
              <w:snapToGrid/>
              <w:spacing w:line="240" w:lineRule="auto"/>
              <w:jc w:val="left"/>
              <w:textAlignment w:val="auto"/>
              <w:rPr>
                <w:rFonts w:hint="eastAsia" w:ascii="仿宋" w:hAnsi="仿宋" w:eastAsia="仿宋" w:cs="仿宋"/>
                <w:color w:val="auto"/>
                <w:sz w:val="21"/>
                <w:szCs w:val="21"/>
                <w:lang w:eastAsia="zh-CN"/>
              </w:rPr>
            </w:pPr>
            <w:r>
              <w:rPr>
                <w:rFonts w:hint="eastAsia" w:ascii="仿宋" w:hAnsi="仿宋" w:eastAsia="仿宋" w:cs="仿宋"/>
                <w:color w:val="auto"/>
                <w:sz w:val="21"/>
                <w:szCs w:val="21"/>
                <w:lang w:val="en-US" w:eastAsia="zh-CN"/>
              </w:rPr>
              <w:t>16.</w:t>
            </w:r>
            <w:r>
              <w:rPr>
                <w:rFonts w:hint="eastAsia" w:ascii="仿宋" w:hAnsi="仿宋" w:eastAsia="仿宋" w:cs="仿宋"/>
                <w:color w:val="auto"/>
                <w:sz w:val="21"/>
                <w:szCs w:val="21"/>
              </w:rPr>
              <w:t>单位</w:t>
            </w:r>
            <w:r>
              <w:rPr>
                <w:rFonts w:hint="eastAsia" w:ascii="仿宋" w:hAnsi="仿宋" w:eastAsia="仿宋" w:cs="仿宋"/>
                <w:color w:val="auto"/>
                <w:sz w:val="21"/>
                <w:szCs w:val="21"/>
                <w:lang w:val="en-US" w:eastAsia="zh-CN"/>
              </w:rPr>
              <w:t>地区生产总值</w:t>
            </w:r>
            <w:r>
              <w:rPr>
                <w:rFonts w:hint="eastAsia" w:ascii="仿宋" w:hAnsi="仿宋" w:eastAsia="仿宋" w:cs="仿宋"/>
                <w:color w:val="auto"/>
                <w:sz w:val="21"/>
                <w:szCs w:val="21"/>
              </w:rPr>
              <w:t>二氧化碳排放</w:t>
            </w:r>
            <w:r>
              <w:rPr>
                <w:rFonts w:hint="eastAsia" w:ascii="仿宋" w:hAnsi="仿宋" w:eastAsia="仿宋" w:cs="仿宋"/>
                <w:color w:val="auto"/>
                <w:sz w:val="21"/>
                <w:szCs w:val="21"/>
                <w:lang w:val="en-US" w:eastAsia="zh-CN"/>
              </w:rPr>
              <w:t>降低</w:t>
            </w:r>
            <w:r>
              <w:rPr>
                <w:rFonts w:hint="eastAsia" w:ascii="仿宋" w:hAnsi="仿宋" w:eastAsia="仿宋" w:cs="仿宋"/>
                <w:color w:val="auto"/>
                <w:sz w:val="21"/>
                <w:szCs w:val="21"/>
                <w:lang w:eastAsia="zh-CN"/>
              </w:rPr>
              <w:t>（</w:t>
            </w:r>
            <w:r>
              <w:rPr>
                <w:rFonts w:hint="eastAsia" w:ascii="仿宋" w:hAnsi="仿宋" w:eastAsia="仿宋" w:cs="仿宋"/>
                <w:color w:val="auto"/>
                <w:sz w:val="21"/>
                <w:szCs w:val="21"/>
                <w:lang w:val="en-US" w:eastAsia="zh-CN"/>
              </w:rPr>
              <w:t>%</w:t>
            </w:r>
            <w:r>
              <w:rPr>
                <w:rFonts w:hint="eastAsia" w:ascii="仿宋" w:hAnsi="仿宋" w:eastAsia="仿宋" w:cs="仿宋"/>
                <w:color w:val="auto"/>
                <w:sz w:val="21"/>
                <w:szCs w:val="21"/>
                <w:lang w:eastAsia="zh-CN"/>
              </w:rPr>
              <w:t>）</w:t>
            </w:r>
          </w:p>
        </w:tc>
        <w:tc>
          <w:tcPr>
            <w:tcW w:w="930" w:type="dxa"/>
            <w:tcBorders>
              <w:tl2br w:val="nil"/>
              <w:tr2bl w:val="nil"/>
            </w:tcBorders>
            <w:vAlign w:val="center"/>
          </w:tcPr>
          <w:p w14:paraId="3169E2B1">
            <w:pPr>
              <w:widowControl w:val="0"/>
              <w:wordWrap/>
              <w:snapToGrid/>
              <w:spacing w:line="240" w:lineRule="auto"/>
              <w:jc w:val="center"/>
              <w:textAlignment w:val="auto"/>
              <w:rPr>
                <w:rFonts w:hint="eastAsia" w:ascii="仿宋" w:hAnsi="仿宋" w:eastAsia="仿宋" w:cs="仿宋"/>
                <w:color w:val="auto"/>
                <w:sz w:val="21"/>
                <w:szCs w:val="21"/>
              </w:rPr>
            </w:pPr>
            <w:r>
              <w:rPr>
                <w:rFonts w:hint="eastAsia" w:ascii="仿宋_GB2312" w:eastAsia="仿宋_GB2312"/>
                <w:color w:val="auto"/>
                <w:kern w:val="2"/>
                <w:sz w:val="21"/>
                <w:szCs w:val="22"/>
                <w:highlight w:val="none"/>
                <w:lang w:val="en-US" w:eastAsia="zh-CN" w:bidi="ar-SA"/>
              </w:rPr>
              <w:t>-</w:t>
            </w:r>
          </w:p>
        </w:tc>
        <w:tc>
          <w:tcPr>
            <w:tcW w:w="885" w:type="dxa"/>
            <w:tcBorders>
              <w:tl2br w:val="nil"/>
              <w:tr2bl w:val="nil"/>
            </w:tcBorders>
            <w:vAlign w:val="center"/>
          </w:tcPr>
          <w:p w14:paraId="1F8D6F10">
            <w:pPr>
              <w:widowControl w:val="0"/>
              <w:wordWrap/>
              <w:snapToGrid/>
              <w:spacing w:line="240" w:lineRule="auto"/>
              <w:jc w:val="center"/>
              <w:textAlignment w:val="auto"/>
              <w:rPr>
                <w:rFonts w:hint="default" w:ascii="仿宋" w:hAnsi="仿宋" w:eastAsia="仿宋" w:cs="仿宋"/>
                <w:color w:val="auto"/>
                <w:sz w:val="21"/>
                <w:szCs w:val="21"/>
                <w:highlight w:val="none"/>
                <w:lang w:val="en-US" w:eastAsia="zh-CN"/>
              </w:rPr>
            </w:pPr>
            <w:r>
              <w:rPr>
                <w:rFonts w:hint="eastAsia" w:ascii="仿宋_GB2312" w:eastAsia="仿宋_GB2312"/>
                <w:color w:val="auto"/>
                <w:kern w:val="2"/>
                <w:sz w:val="21"/>
                <w:szCs w:val="22"/>
                <w:highlight w:val="none"/>
                <w:lang w:val="en-US" w:eastAsia="zh-CN" w:bidi="ar-SA"/>
              </w:rPr>
              <w:t>-</w:t>
            </w:r>
          </w:p>
        </w:tc>
        <w:tc>
          <w:tcPr>
            <w:tcW w:w="915" w:type="dxa"/>
            <w:tcBorders>
              <w:tl2br w:val="nil"/>
              <w:tr2bl w:val="nil"/>
            </w:tcBorders>
            <w:vAlign w:val="center"/>
          </w:tcPr>
          <w:p w14:paraId="17F78F23">
            <w:pPr>
              <w:pStyle w:val="36"/>
              <w:widowControl w:val="0"/>
              <w:wordWrap/>
              <w:snapToGrid/>
              <w:spacing w:line="240" w:lineRule="auto"/>
              <w:jc w:val="center"/>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不低于省市下达目标</w:t>
            </w:r>
          </w:p>
        </w:tc>
        <w:tc>
          <w:tcPr>
            <w:tcW w:w="870" w:type="dxa"/>
            <w:tcBorders>
              <w:tl2br w:val="nil"/>
              <w:tr2bl w:val="nil"/>
            </w:tcBorders>
            <w:vAlign w:val="center"/>
          </w:tcPr>
          <w:p w14:paraId="57E97FB8">
            <w:pPr>
              <w:pStyle w:val="36"/>
              <w:widowControl w:val="0"/>
              <w:wordWrap/>
              <w:snapToGrid/>
              <w:spacing w:line="240" w:lineRule="auto"/>
              <w:jc w:val="center"/>
              <w:textAlignment w:val="auto"/>
              <w:rPr>
                <w:rFonts w:hint="eastAsia" w:ascii="仿宋" w:hAnsi="仿宋" w:eastAsia="仿宋" w:cs="仿宋"/>
                <w:color w:val="auto"/>
                <w:sz w:val="21"/>
                <w:szCs w:val="21"/>
                <w:highlight w:val="none"/>
              </w:rPr>
            </w:pPr>
            <w:r>
              <w:rPr>
                <w:rFonts w:hint="eastAsia" w:ascii="仿宋_GB2312" w:eastAsia="仿宋_GB2312"/>
                <w:color w:val="auto"/>
                <w:kern w:val="2"/>
                <w:sz w:val="21"/>
                <w:szCs w:val="22"/>
                <w:highlight w:val="none"/>
                <w:lang w:val="en-US" w:eastAsia="zh-CN" w:bidi="ar-SA"/>
              </w:rPr>
              <w:t>-</w:t>
            </w:r>
          </w:p>
        </w:tc>
        <w:tc>
          <w:tcPr>
            <w:tcW w:w="900" w:type="dxa"/>
            <w:tcBorders>
              <w:tl2br w:val="nil"/>
              <w:tr2bl w:val="nil"/>
            </w:tcBorders>
            <w:vAlign w:val="center"/>
          </w:tcPr>
          <w:p w14:paraId="352D4E9A">
            <w:pPr>
              <w:widowControl w:val="0"/>
              <w:wordWrap/>
              <w:snapToGrid/>
              <w:spacing w:line="240" w:lineRule="auto"/>
              <w:jc w:val="center"/>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lang w:val="en-US" w:eastAsia="zh-CN"/>
              </w:rPr>
              <w:t>完成目标</w:t>
            </w:r>
          </w:p>
        </w:tc>
        <w:tc>
          <w:tcPr>
            <w:tcW w:w="855" w:type="dxa"/>
            <w:tcBorders>
              <w:tl2br w:val="nil"/>
              <w:tr2bl w:val="nil"/>
            </w:tcBorders>
            <w:vAlign w:val="center"/>
          </w:tcPr>
          <w:p w14:paraId="4AAD8E8E">
            <w:pPr>
              <w:pStyle w:val="36"/>
              <w:widowControl w:val="0"/>
              <w:wordWrap/>
              <w:snapToGrid/>
              <w:spacing w:line="240" w:lineRule="auto"/>
              <w:jc w:val="center"/>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约束性</w:t>
            </w:r>
          </w:p>
        </w:tc>
      </w:tr>
      <w:tr w14:paraId="361020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095" w:type="dxa"/>
            <w:gridSpan w:val="2"/>
            <w:tcBorders>
              <w:tl2br w:val="nil"/>
              <w:tr2bl w:val="nil"/>
            </w:tcBorders>
            <w:vAlign w:val="center"/>
          </w:tcPr>
          <w:p w14:paraId="675BCC26">
            <w:pPr>
              <w:pStyle w:val="36"/>
              <w:widowControl w:val="0"/>
              <w:wordWrap/>
              <w:snapToGrid/>
              <w:spacing w:line="240" w:lineRule="auto"/>
              <w:jc w:val="left"/>
              <w:textAlignment w:val="auto"/>
              <w:rPr>
                <w:rFonts w:hint="eastAsia" w:ascii="仿宋" w:hAnsi="仿宋" w:eastAsia="仿宋" w:cs="仿宋"/>
                <w:color w:val="auto"/>
                <w:sz w:val="21"/>
                <w:szCs w:val="21"/>
                <w:lang w:eastAsia="zh-CN"/>
              </w:rPr>
            </w:pPr>
            <w:r>
              <w:rPr>
                <w:rFonts w:hint="eastAsia" w:ascii="仿宋" w:hAnsi="仿宋" w:eastAsia="仿宋" w:cs="仿宋"/>
                <w:color w:val="auto"/>
                <w:sz w:val="21"/>
                <w:szCs w:val="21"/>
                <w:lang w:val="en-US" w:eastAsia="zh-CN"/>
              </w:rPr>
              <w:t>17.城市</w:t>
            </w:r>
            <w:r>
              <w:rPr>
                <w:rFonts w:hint="eastAsia" w:ascii="仿宋" w:hAnsi="仿宋" w:eastAsia="仿宋" w:cs="仿宋"/>
                <w:color w:val="auto"/>
                <w:sz w:val="21"/>
                <w:szCs w:val="21"/>
              </w:rPr>
              <w:t>空气质量</w:t>
            </w:r>
            <w:r>
              <w:rPr>
                <w:rFonts w:hint="eastAsia" w:ascii="仿宋" w:hAnsi="仿宋" w:eastAsia="仿宋" w:cs="仿宋"/>
                <w:color w:val="auto"/>
                <w:sz w:val="21"/>
                <w:szCs w:val="21"/>
                <w:lang w:val="en-US" w:eastAsia="zh-CN"/>
              </w:rPr>
              <w:t>优良</w:t>
            </w:r>
            <w:r>
              <w:rPr>
                <w:rFonts w:hint="eastAsia" w:ascii="仿宋" w:hAnsi="仿宋" w:eastAsia="仿宋" w:cs="仿宋"/>
                <w:color w:val="auto"/>
                <w:sz w:val="21"/>
                <w:szCs w:val="21"/>
              </w:rPr>
              <w:t>天数</w:t>
            </w:r>
            <w:r>
              <w:rPr>
                <w:rFonts w:hint="eastAsia" w:ascii="仿宋" w:hAnsi="仿宋" w:eastAsia="仿宋" w:cs="仿宋"/>
                <w:color w:val="auto"/>
                <w:sz w:val="21"/>
                <w:szCs w:val="21"/>
                <w:lang w:val="en-US" w:eastAsia="zh-CN"/>
              </w:rPr>
              <w:t>比率</w:t>
            </w:r>
            <w:r>
              <w:rPr>
                <w:rFonts w:hint="eastAsia" w:ascii="仿宋" w:hAnsi="仿宋" w:eastAsia="仿宋" w:cs="仿宋"/>
                <w:color w:val="auto"/>
                <w:sz w:val="21"/>
                <w:szCs w:val="21"/>
                <w:lang w:eastAsia="zh-CN"/>
              </w:rPr>
              <w:t>（</w:t>
            </w:r>
            <w:r>
              <w:rPr>
                <w:rFonts w:hint="eastAsia" w:ascii="仿宋" w:hAnsi="仿宋" w:eastAsia="仿宋" w:cs="仿宋"/>
                <w:color w:val="auto"/>
                <w:sz w:val="21"/>
                <w:szCs w:val="21"/>
                <w:lang w:val="en-US" w:eastAsia="zh-CN"/>
              </w:rPr>
              <w:t>%</w:t>
            </w:r>
            <w:r>
              <w:rPr>
                <w:rFonts w:hint="eastAsia" w:ascii="仿宋" w:hAnsi="仿宋" w:eastAsia="仿宋" w:cs="仿宋"/>
                <w:color w:val="auto"/>
                <w:sz w:val="21"/>
                <w:szCs w:val="21"/>
                <w:lang w:eastAsia="zh-CN"/>
              </w:rPr>
              <w:t>）</w:t>
            </w:r>
          </w:p>
        </w:tc>
        <w:tc>
          <w:tcPr>
            <w:tcW w:w="930" w:type="dxa"/>
            <w:tcBorders>
              <w:tl2br w:val="nil"/>
              <w:tr2bl w:val="nil"/>
            </w:tcBorders>
            <w:vAlign w:val="center"/>
          </w:tcPr>
          <w:p w14:paraId="7CFE9B16">
            <w:pPr>
              <w:pStyle w:val="36"/>
              <w:widowControl w:val="0"/>
              <w:wordWrap/>
              <w:snapToGrid/>
              <w:spacing w:line="240" w:lineRule="auto"/>
              <w:jc w:val="center"/>
              <w:textAlignment w:val="auto"/>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66.8</w:t>
            </w:r>
          </w:p>
        </w:tc>
        <w:tc>
          <w:tcPr>
            <w:tcW w:w="885" w:type="dxa"/>
            <w:tcBorders>
              <w:tl2br w:val="nil"/>
              <w:tr2bl w:val="nil"/>
            </w:tcBorders>
            <w:vAlign w:val="center"/>
          </w:tcPr>
          <w:p w14:paraId="1DBF95EE">
            <w:pPr>
              <w:pStyle w:val="36"/>
              <w:widowControl w:val="0"/>
              <w:wordWrap/>
              <w:snapToGrid/>
              <w:spacing w:line="240" w:lineRule="auto"/>
              <w:jc w:val="center"/>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不低于省市下达目标</w:t>
            </w:r>
          </w:p>
        </w:tc>
        <w:tc>
          <w:tcPr>
            <w:tcW w:w="915" w:type="dxa"/>
            <w:tcBorders>
              <w:tl2br w:val="nil"/>
              <w:tr2bl w:val="nil"/>
            </w:tcBorders>
            <w:vAlign w:val="center"/>
          </w:tcPr>
          <w:p w14:paraId="554E2ABE">
            <w:pPr>
              <w:pStyle w:val="36"/>
              <w:widowControl w:val="0"/>
              <w:wordWrap/>
              <w:snapToGrid/>
              <w:spacing w:line="240" w:lineRule="auto"/>
              <w:jc w:val="center"/>
              <w:textAlignment w:val="auto"/>
              <w:rPr>
                <w:rFonts w:hint="eastAsia" w:ascii="仿宋" w:hAnsi="仿宋" w:eastAsia="仿宋" w:cs="仿宋"/>
                <w:color w:val="auto"/>
                <w:sz w:val="21"/>
                <w:szCs w:val="21"/>
                <w:highlight w:val="none"/>
              </w:rPr>
            </w:pPr>
            <w:r>
              <w:rPr>
                <w:rFonts w:hint="eastAsia" w:ascii="仿宋_GB2312" w:eastAsia="仿宋_GB2312"/>
                <w:color w:val="auto"/>
                <w:kern w:val="2"/>
                <w:sz w:val="21"/>
                <w:szCs w:val="22"/>
                <w:highlight w:val="none"/>
                <w:lang w:val="en-US" w:eastAsia="zh-CN" w:bidi="ar-SA"/>
              </w:rPr>
              <w:t>-</w:t>
            </w:r>
          </w:p>
        </w:tc>
        <w:tc>
          <w:tcPr>
            <w:tcW w:w="870" w:type="dxa"/>
            <w:tcBorders>
              <w:tl2br w:val="nil"/>
              <w:tr2bl w:val="nil"/>
            </w:tcBorders>
            <w:vAlign w:val="center"/>
          </w:tcPr>
          <w:p w14:paraId="6A6DC519">
            <w:pPr>
              <w:widowControl w:val="0"/>
              <w:wordWrap/>
              <w:snapToGrid/>
              <w:spacing w:line="240" w:lineRule="auto"/>
              <w:jc w:val="center"/>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lang w:val="en-US" w:eastAsia="zh-CN"/>
              </w:rPr>
              <w:t>完成目标</w:t>
            </w:r>
          </w:p>
        </w:tc>
        <w:tc>
          <w:tcPr>
            <w:tcW w:w="900" w:type="dxa"/>
            <w:tcBorders>
              <w:tl2br w:val="nil"/>
              <w:tr2bl w:val="nil"/>
            </w:tcBorders>
            <w:vAlign w:val="center"/>
          </w:tcPr>
          <w:p w14:paraId="01CFFDDE">
            <w:pPr>
              <w:pStyle w:val="36"/>
              <w:widowControl w:val="0"/>
              <w:wordWrap/>
              <w:snapToGrid/>
              <w:spacing w:line="240" w:lineRule="auto"/>
              <w:jc w:val="center"/>
              <w:textAlignment w:val="auto"/>
              <w:rPr>
                <w:rFonts w:hint="eastAsia" w:ascii="仿宋" w:hAnsi="仿宋" w:eastAsia="仿宋" w:cs="仿宋"/>
                <w:color w:val="auto"/>
                <w:sz w:val="21"/>
                <w:szCs w:val="21"/>
                <w:highlight w:val="none"/>
                <w:lang w:val="en-US" w:eastAsia="zh-CN"/>
              </w:rPr>
            </w:pPr>
            <w:r>
              <w:rPr>
                <w:rFonts w:hint="eastAsia" w:ascii="仿宋_GB2312" w:eastAsia="仿宋_GB2312"/>
                <w:color w:val="auto"/>
                <w:kern w:val="2"/>
                <w:sz w:val="21"/>
                <w:szCs w:val="22"/>
                <w:highlight w:val="none"/>
                <w:lang w:val="en-US" w:eastAsia="zh-CN" w:bidi="ar-SA"/>
              </w:rPr>
              <w:t>-</w:t>
            </w:r>
          </w:p>
        </w:tc>
        <w:tc>
          <w:tcPr>
            <w:tcW w:w="855" w:type="dxa"/>
            <w:tcBorders>
              <w:tl2br w:val="nil"/>
              <w:tr2bl w:val="nil"/>
            </w:tcBorders>
            <w:vAlign w:val="center"/>
          </w:tcPr>
          <w:p w14:paraId="2DC46E6F">
            <w:pPr>
              <w:pStyle w:val="36"/>
              <w:widowControl w:val="0"/>
              <w:wordWrap/>
              <w:snapToGrid/>
              <w:spacing w:line="240" w:lineRule="auto"/>
              <w:jc w:val="center"/>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约束性</w:t>
            </w:r>
          </w:p>
        </w:tc>
      </w:tr>
      <w:tr w14:paraId="681F59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095" w:type="dxa"/>
            <w:gridSpan w:val="2"/>
            <w:tcBorders>
              <w:tl2br w:val="nil"/>
              <w:tr2bl w:val="nil"/>
            </w:tcBorders>
            <w:vAlign w:val="center"/>
          </w:tcPr>
          <w:p w14:paraId="26EF8148">
            <w:pPr>
              <w:pStyle w:val="36"/>
              <w:widowControl w:val="0"/>
              <w:wordWrap/>
              <w:snapToGrid/>
              <w:spacing w:line="240" w:lineRule="auto"/>
              <w:jc w:val="left"/>
              <w:textAlignment w:val="auto"/>
              <w:rPr>
                <w:rFonts w:hint="eastAsia" w:ascii="仿宋" w:hAnsi="仿宋" w:eastAsia="仿宋" w:cs="仿宋"/>
                <w:color w:val="auto"/>
                <w:sz w:val="21"/>
                <w:szCs w:val="21"/>
                <w:lang w:eastAsia="zh-CN"/>
              </w:rPr>
            </w:pPr>
            <w:r>
              <w:rPr>
                <w:rFonts w:hint="eastAsia" w:ascii="仿宋" w:hAnsi="仿宋" w:eastAsia="仿宋" w:cs="仿宋"/>
                <w:color w:val="auto"/>
                <w:sz w:val="21"/>
                <w:szCs w:val="21"/>
                <w:lang w:val="en-US" w:eastAsia="zh-CN"/>
              </w:rPr>
              <w:t>18.</w:t>
            </w:r>
            <w:r>
              <w:rPr>
                <w:rFonts w:hint="eastAsia" w:ascii="仿宋" w:hAnsi="仿宋" w:eastAsia="仿宋" w:cs="仿宋"/>
                <w:color w:val="auto"/>
                <w:sz w:val="21"/>
                <w:szCs w:val="21"/>
              </w:rPr>
              <w:t>地表水</w:t>
            </w:r>
            <w:r>
              <w:rPr>
                <w:rFonts w:hint="eastAsia" w:ascii="仿宋" w:hAnsi="仿宋" w:eastAsia="仿宋" w:cs="仿宋"/>
                <w:color w:val="auto"/>
                <w:sz w:val="21"/>
                <w:szCs w:val="21"/>
                <w:lang w:val="en-US" w:eastAsia="zh-CN"/>
              </w:rPr>
              <w:t>达到或</w:t>
            </w:r>
            <w:r>
              <w:rPr>
                <w:rFonts w:hint="eastAsia" w:ascii="仿宋" w:hAnsi="仿宋" w:eastAsia="仿宋" w:cs="仿宋"/>
                <w:color w:val="auto"/>
                <w:sz w:val="21"/>
                <w:szCs w:val="21"/>
              </w:rPr>
              <w:t>好于三类</w:t>
            </w:r>
            <w:r>
              <w:rPr>
                <w:rFonts w:hint="eastAsia" w:ascii="仿宋" w:hAnsi="仿宋" w:eastAsia="仿宋" w:cs="仿宋"/>
                <w:color w:val="auto"/>
                <w:sz w:val="21"/>
                <w:szCs w:val="21"/>
                <w:lang w:val="en-US" w:eastAsia="zh-CN"/>
              </w:rPr>
              <w:t>水体</w:t>
            </w:r>
            <w:r>
              <w:rPr>
                <w:rFonts w:hint="eastAsia" w:ascii="仿宋" w:hAnsi="仿宋" w:eastAsia="仿宋" w:cs="仿宋"/>
                <w:color w:val="auto"/>
                <w:sz w:val="21"/>
                <w:szCs w:val="21"/>
              </w:rPr>
              <w:t>比例</w:t>
            </w:r>
            <w:r>
              <w:rPr>
                <w:rFonts w:hint="eastAsia" w:ascii="仿宋" w:hAnsi="仿宋" w:eastAsia="仿宋" w:cs="仿宋"/>
                <w:color w:val="auto"/>
                <w:sz w:val="21"/>
                <w:szCs w:val="21"/>
                <w:lang w:eastAsia="zh-CN"/>
              </w:rPr>
              <w:t>（</w:t>
            </w:r>
            <w:r>
              <w:rPr>
                <w:rFonts w:hint="eastAsia" w:ascii="仿宋" w:hAnsi="仿宋" w:eastAsia="仿宋" w:cs="仿宋"/>
                <w:color w:val="auto"/>
                <w:sz w:val="21"/>
                <w:szCs w:val="21"/>
                <w:lang w:val="en-US" w:eastAsia="zh-CN"/>
              </w:rPr>
              <w:t>%</w:t>
            </w:r>
            <w:r>
              <w:rPr>
                <w:rFonts w:hint="eastAsia" w:ascii="仿宋" w:hAnsi="仿宋" w:eastAsia="仿宋" w:cs="仿宋"/>
                <w:color w:val="auto"/>
                <w:sz w:val="21"/>
                <w:szCs w:val="21"/>
                <w:lang w:eastAsia="zh-CN"/>
              </w:rPr>
              <w:t>）</w:t>
            </w:r>
          </w:p>
        </w:tc>
        <w:tc>
          <w:tcPr>
            <w:tcW w:w="930" w:type="dxa"/>
            <w:tcBorders>
              <w:tl2br w:val="nil"/>
              <w:tr2bl w:val="nil"/>
            </w:tcBorders>
            <w:vAlign w:val="center"/>
          </w:tcPr>
          <w:p w14:paraId="4FCE8F3A">
            <w:pPr>
              <w:pStyle w:val="36"/>
              <w:widowControl w:val="0"/>
              <w:wordWrap/>
              <w:snapToGrid/>
              <w:spacing w:line="240" w:lineRule="auto"/>
              <w:jc w:val="center"/>
              <w:textAlignment w:val="auto"/>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60</w:t>
            </w:r>
          </w:p>
        </w:tc>
        <w:tc>
          <w:tcPr>
            <w:tcW w:w="885" w:type="dxa"/>
            <w:tcBorders>
              <w:tl2br w:val="nil"/>
              <w:tr2bl w:val="nil"/>
            </w:tcBorders>
            <w:vAlign w:val="center"/>
          </w:tcPr>
          <w:p w14:paraId="59E786BB">
            <w:pPr>
              <w:pStyle w:val="36"/>
              <w:widowControl w:val="0"/>
              <w:wordWrap/>
              <w:snapToGrid/>
              <w:spacing w:line="240" w:lineRule="auto"/>
              <w:jc w:val="center"/>
              <w:textAlignment w:val="auto"/>
              <w:rPr>
                <w:rFonts w:hint="default"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不低于省市下达目标</w:t>
            </w:r>
          </w:p>
        </w:tc>
        <w:tc>
          <w:tcPr>
            <w:tcW w:w="915" w:type="dxa"/>
            <w:tcBorders>
              <w:tl2br w:val="nil"/>
              <w:tr2bl w:val="nil"/>
            </w:tcBorders>
            <w:vAlign w:val="center"/>
          </w:tcPr>
          <w:p w14:paraId="02015558">
            <w:pPr>
              <w:pStyle w:val="36"/>
              <w:widowControl w:val="0"/>
              <w:wordWrap/>
              <w:snapToGrid/>
              <w:spacing w:line="240" w:lineRule="auto"/>
              <w:jc w:val="center"/>
              <w:textAlignment w:val="auto"/>
              <w:rPr>
                <w:rFonts w:hint="eastAsia" w:ascii="仿宋" w:hAnsi="仿宋" w:eastAsia="仿宋" w:cs="仿宋"/>
                <w:color w:val="auto"/>
                <w:sz w:val="21"/>
                <w:szCs w:val="21"/>
                <w:highlight w:val="none"/>
              </w:rPr>
            </w:pPr>
            <w:r>
              <w:rPr>
                <w:rFonts w:hint="eastAsia" w:ascii="仿宋_GB2312" w:eastAsia="仿宋_GB2312"/>
                <w:color w:val="auto"/>
                <w:kern w:val="2"/>
                <w:sz w:val="21"/>
                <w:szCs w:val="22"/>
                <w:highlight w:val="none"/>
                <w:lang w:val="en-US" w:eastAsia="zh-CN" w:bidi="ar-SA"/>
              </w:rPr>
              <w:t>-</w:t>
            </w:r>
          </w:p>
        </w:tc>
        <w:tc>
          <w:tcPr>
            <w:tcW w:w="870" w:type="dxa"/>
            <w:tcBorders>
              <w:tl2br w:val="nil"/>
              <w:tr2bl w:val="nil"/>
            </w:tcBorders>
            <w:vAlign w:val="center"/>
          </w:tcPr>
          <w:p w14:paraId="33FB9138">
            <w:pPr>
              <w:widowControl w:val="0"/>
              <w:wordWrap/>
              <w:snapToGrid/>
              <w:spacing w:line="240" w:lineRule="auto"/>
              <w:jc w:val="center"/>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lang w:val="en-US" w:eastAsia="zh-CN"/>
              </w:rPr>
              <w:t>完成目标</w:t>
            </w:r>
          </w:p>
        </w:tc>
        <w:tc>
          <w:tcPr>
            <w:tcW w:w="900" w:type="dxa"/>
            <w:tcBorders>
              <w:tl2br w:val="nil"/>
              <w:tr2bl w:val="nil"/>
            </w:tcBorders>
            <w:vAlign w:val="center"/>
          </w:tcPr>
          <w:p w14:paraId="043501E0">
            <w:pPr>
              <w:pStyle w:val="36"/>
              <w:widowControl w:val="0"/>
              <w:wordWrap/>
              <w:snapToGrid/>
              <w:spacing w:line="240" w:lineRule="auto"/>
              <w:jc w:val="center"/>
              <w:textAlignment w:val="auto"/>
              <w:rPr>
                <w:rFonts w:hint="eastAsia" w:ascii="仿宋" w:hAnsi="仿宋" w:eastAsia="仿宋" w:cs="仿宋"/>
                <w:color w:val="auto"/>
                <w:sz w:val="21"/>
                <w:szCs w:val="21"/>
                <w:highlight w:val="none"/>
                <w:lang w:val="en-US" w:eastAsia="zh-CN"/>
              </w:rPr>
            </w:pPr>
            <w:r>
              <w:rPr>
                <w:rFonts w:hint="eastAsia" w:ascii="仿宋_GB2312" w:eastAsia="仿宋_GB2312"/>
                <w:color w:val="auto"/>
                <w:kern w:val="2"/>
                <w:sz w:val="21"/>
                <w:szCs w:val="22"/>
                <w:highlight w:val="none"/>
                <w:lang w:val="en-US" w:eastAsia="zh-CN" w:bidi="ar-SA"/>
              </w:rPr>
              <w:t>-</w:t>
            </w:r>
          </w:p>
        </w:tc>
        <w:tc>
          <w:tcPr>
            <w:tcW w:w="855" w:type="dxa"/>
            <w:tcBorders>
              <w:tl2br w:val="nil"/>
              <w:tr2bl w:val="nil"/>
            </w:tcBorders>
            <w:vAlign w:val="center"/>
          </w:tcPr>
          <w:p w14:paraId="6DBC4F4F">
            <w:pPr>
              <w:pStyle w:val="36"/>
              <w:widowControl w:val="0"/>
              <w:wordWrap/>
              <w:snapToGrid/>
              <w:spacing w:line="240" w:lineRule="auto"/>
              <w:jc w:val="center"/>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约束性</w:t>
            </w:r>
          </w:p>
        </w:tc>
      </w:tr>
      <w:tr w14:paraId="5C23CC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095" w:type="dxa"/>
            <w:gridSpan w:val="2"/>
            <w:tcBorders>
              <w:tl2br w:val="nil"/>
              <w:tr2bl w:val="nil"/>
            </w:tcBorders>
            <w:vAlign w:val="center"/>
          </w:tcPr>
          <w:p w14:paraId="686B66BB">
            <w:pPr>
              <w:pStyle w:val="36"/>
              <w:widowControl w:val="0"/>
              <w:wordWrap/>
              <w:snapToGrid/>
              <w:spacing w:line="240" w:lineRule="auto"/>
              <w:jc w:val="left"/>
              <w:textAlignment w:val="auto"/>
              <w:rPr>
                <w:rFonts w:hint="eastAsia" w:ascii="仿宋" w:hAnsi="仿宋" w:eastAsia="仿宋" w:cs="仿宋"/>
                <w:color w:val="auto"/>
                <w:sz w:val="21"/>
                <w:szCs w:val="21"/>
                <w:lang w:eastAsia="zh-CN"/>
              </w:rPr>
            </w:pPr>
            <w:r>
              <w:rPr>
                <w:rFonts w:hint="eastAsia" w:ascii="仿宋" w:hAnsi="仿宋" w:eastAsia="仿宋" w:cs="仿宋"/>
                <w:color w:val="auto"/>
                <w:sz w:val="21"/>
                <w:szCs w:val="21"/>
                <w:lang w:val="en-US" w:eastAsia="zh-CN"/>
              </w:rPr>
              <w:t>19.森林</w:t>
            </w:r>
            <w:r>
              <w:rPr>
                <w:rFonts w:hint="eastAsia" w:ascii="仿宋" w:hAnsi="仿宋" w:eastAsia="仿宋" w:cs="仿宋"/>
                <w:color w:val="auto"/>
                <w:sz w:val="21"/>
                <w:szCs w:val="21"/>
              </w:rPr>
              <w:t>覆盖率</w:t>
            </w:r>
            <w:r>
              <w:rPr>
                <w:rFonts w:hint="eastAsia" w:ascii="仿宋" w:hAnsi="仿宋" w:eastAsia="仿宋" w:cs="仿宋"/>
                <w:color w:val="auto"/>
                <w:sz w:val="21"/>
                <w:szCs w:val="21"/>
                <w:lang w:eastAsia="zh-CN"/>
              </w:rPr>
              <w:t>（</w:t>
            </w:r>
            <w:r>
              <w:rPr>
                <w:rFonts w:hint="eastAsia" w:ascii="仿宋" w:hAnsi="仿宋" w:eastAsia="仿宋" w:cs="仿宋"/>
                <w:color w:val="auto"/>
                <w:sz w:val="21"/>
                <w:szCs w:val="21"/>
                <w:lang w:val="en-US" w:eastAsia="zh-CN"/>
              </w:rPr>
              <w:t>%</w:t>
            </w:r>
            <w:r>
              <w:rPr>
                <w:rFonts w:hint="eastAsia" w:ascii="仿宋" w:hAnsi="仿宋" w:eastAsia="仿宋" w:cs="仿宋"/>
                <w:color w:val="auto"/>
                <w:sz w:val="21"/>
                <w:szCs w:val="21"/>
                <w:lang w:eastAsia="zh-CN"/>
              </w:rPr>
              <w:t>）</w:t>
            </w:r>
          </w:p>
        </w:tc>
        <w:tc>
          <w:tcPr>
            <w:tcW w:w="930" w:type="dxa"/>
            <w:tcBorders>
              <w:tl2br w:val="nil"/>
              <w:tr2bl w:val="nil"/>
            </w:tcBorders>
            <w:vAlign w:val="center"/>
          </w:tcPr>
          <w:p w14:paraId="49C76142">
            <w:pPr>
              <w:pStyle w:val="36"/>
              <w:widowControl w:val="0"/>
              <w:wordWrap/>
              <w:snapToGrid/>
              <w:spacing w:line="240" w:lineRule="auto"/>
              <w:jc w:val="center"/>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26.6</w:t>
            </w:r>
          </w:p>
        </w:tc>
        <w:tc>
          <w:tcPr>
            <w:tcW w:w="885" w:type="dxa"/>
            <w:tcBorders>
              <w:tl2br w:val="nil"/>
              <w:tr2bl w:val="nil"/>
            </w:tcBorders>
            <w:vAlign w:val="center"/>
          </w:tcPr>
          <w:p w14:paraId="55931D59">
            <w:pPr>
              <w:pStyle w:val="36"/>
              <w:widowControl w:val="0"/>
              <w:wordWrap/>
              <w:snapToGrid/>
              <w:spacing w:line="240" w:lineRule="auto"/>
              <w:jc w:val="center"/>
              <w:textAlignment w:val="auto"/>
              <w:rPr>
                <w:rFonts w:hint="default"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&gt;28</w:t>
            </w:r>
          </w:p>
        </w:tc>
        <w:tc>
          <w:tcPr>
            <w:tcW w:w="915" w:type="dxa"/>
            <w:tcBorders>
              <w:tl2br w:val="nil"/>
              <w:tr2bl w:val="nil"/>
            </w:tcBorders>
            <w:vAlign w:val="center"/>
          </w:tcPr>
          <w:p w14:paraId="436F102D">
            <w:pPr>
              <w:pStyle w:val="36"/>
              <w:widowControl w:val="0"/>
              <w:wordWrap/>
              <w:snapToGrid/>
              <w:spacing w:line="240" w:lineRule="auto"/>
              <w:jc w:val="center"/>
              <w:textAlignment w:val="auto"/>
              <w:rPr>
                <w:rFonts w:hint="eastAsia" w:ascii="仿宋" w:hAnsi="仿宋" w:eastAsia="仿宋" w:cs="仿宋"/>
                <w:color w:val="auto"/>
                <w:sz w:val="21"/>
                <w:szCs w:val="21"/>
                <w:highlight w:val="none"/>
              </w:rPr>
            </w:pPr>
            <w:r>
              <w:rPr>
                <w:rFonts w:hint="eastAsia" w:ascii="仿宋_GB2312" w:eastAsia="仿宋_GB2312"/>
                <w:color w:val="auto"/>
                <w:kern w:val="2"/>
                <w:sz w:val="21"/>
                <w:szCs w:val="22"/>
                <w:highlight w:val="none"/>
                <w:lang w:val="en-US" w:eastAsia="zh-CN" w:bidi="ar-SA"/>
              </w:rPr>
              <w:t>-</w:t>
            </w:r>
          </w:p>
        </w:tc>
        <w:tc>
          <w:tcPr>
            <w:tcW w:w="870" w:type="dxa"/>
            <w:tcBorders>
              <w:tl2br w:val="nil"/>
              <w:tr2bl w:val="nil"/>
            </w:tcBorders>
            <w:vAlign w:val="center"/>
          </w:tcPr>
          <w:p w14:paraId="4045E069">
            <w:pPr>
              <w:pStyle w:val="36"/>
              <w:widowControl w:val="0"/>
              <w:wordWrap/>
              <w:snapToGrid/>
              <w:spacing w:line="240" w:lineRule="auto"/>
              <w:jc w:val="center"/>
              <w:textAlignment w:val="auto"/>
              <w:rPr>
                <w:rFonts w:hint="default"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28.5</w:t>
            </w:r>
          </w:p>
        </w:tc>
        <w:tc>
          <w:tcPr>
            <w:tcW w:w="900" w:type="dxa"/>
            <w:tcBorders>
              <w:tl2br w:val="nil"/>
              <w:tr2bl w:val="nil"/>
            </w:tcBorders>
            <w:vAlign w:val="center"/>
          </w:tcPr>
          <w:p w14:paraId="24464752">
            <w:pPr>
              <w:pStyle w:val="36"/>
              <w:widowControl w:val="0"/>
              <w:wordWrap/>
              <w:snapToGrid/>
              <w:spacing w:line="240" w:lineRule="auto"/>
              <w:jc w:val="center"/>
              <w:textAlignment w:val="auto"/>
              <w:rPr>
                <w:rFonts w:hint="eastAsia" w:ascii="仿宋" w:hAnsi="仿宋" w:eastAsia="仿宋" w:cs="仿宋"/>
                <w:color w:val="auto"/>
                <w:sz w:val="21"/>
                <w:szCs w:val="21"/>
                <w:highlight w:val="none"/>
                <w:lang w:val="en-US" w:eastAsia="zh-CN"/>
              </w:rPr>
            </w:pPr>
            <w:r>
              <w:rPr>
                <w:rFonts w:hint="eastAsia" w:ascii="仿宋_GB2312" w:eastAsia="仿宋_GB2312"/>
                <w:color w:val="auto"/>
                <w:kern w:val="2"/>
                <w:sz w:val="21"/>
                <w:szCs w:val="22"/>
                <w:highlight w:val="none"/>
                <w:lang w:val="en-US" w:eastAsia="zh-CN" w:bidi="ar-SA"/>
              </w:rPr>
              <w:t>-</w:t>
            </w:r>
          </w:p>
        </w:tc>
        <w:tc>
          <w:tcPr>
            <w:tcW w:w="855" w:type="dxa"/>
            <w:tcBorders>
              <w:tl2br w:val="nil"/>
              <w:tr2bl w:val="nil"/>
            </w:tcBorders>
            <w:vAlign w:val="center"/>
          </w:tcPr>
          <w:p w14:paraId="10B74903">
            <w:pPr>
              <w:pStyle w:val="36"/>
              <w:widowControl w:val="0"/>
              <w:wordWrap/>
              <w:snapToGrid/>
              <w:spacing w:line="240" w:lineRule="auto"/>
              <w:jc w:val="center"/>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约束性</w:t>
            </w:r>
          </w:p>
        </w:tc>
      </w:tr>
      <w:tr w14:paraId="09D811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50" w:type="dxa"/>
            <w:gridSpan w:val="8"/>
            <w:tcBorders>
              <w:tl2br w:val="nil"/>
              <w:tr2bl w:val="nil"/>
            </w:tcBorders>
            <w:vAlign w:val="center"/>
          </w:tcPr>
          <w:p w14:paraId="73E615BA">
            <w:pPr>
              <w:pStyle w:val="36"/>
              <w:widowControl w:val="0"/>
              <w:wordWrap/>
              <w:snapToGrid/>
              <w:spacing w:line="240" w:lineRule="auto"/>
              <w:jc w:val="center"/>
              <w:textAlignment w:val="auto"/>
              <w:rPr>
                <w:rFonts w:hint="eastAsia" w:ascii="仿宋" w:hAnsi="仿宋" w:eastAsia="仿宋" w:cs="仿宋"/>
                <w:b/>
                <w:bCs/>
                <w:color w:val="auto"/>
                <w:sz w:val="21"/>
                <w:szCs w:val="21"/>
                <w:highlight w:val="none"/>
                <w:lang w:val="en-US" w:eastAsia="zh-CN"/>
              </w:rPr>
            </w:pPr>
            <w:r>
              <w:rPr>
                <w:rFonts w:hint="eastAsia" w:ascii="仿宋" w:hAnsi="仿宋" w:eastAsia="仿宋" w:cs="仿宋"/>
                <w:b/>
                <w:bCs/>
                <w:color w:val="auto"/>
                <w:sz w:val="21"/>
                <w:szCs w:val="21"/>
                <w:highlight w:val="none"/>
                <w:lang w:val="en-US" w:eastAsia="zh-CN"/>
              </w:rPr>
              <w:t>五、</w:t>
            </w:r>
            <w:r>
              <w:rPr>
                <w:rFonts w:hint="eastAsia" w:ascii="仿宋" w:hAnsi="仿宋" w:eastAsia="仿宋" w:cs="仿宋"/>
                <w:b/>
                <w:bCs/>
                <w:color w:val="auto"/>
                <w:sz w:val="21"/>
                <w:szCs w:val="21"/>
                <w:highlight w:val="none"/>
              </w:rPr>
              <w:t>安全保障</w:t>
            </w:r>
          </w:p>
        </w:tc>
      </w:tr>
      <w:tr w14:paraId="51FADE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 w:hRule="atLeast"/>
          <w:jc w:val="center"/>
        </w:trPr>
        <w:tc>
          <w:tcPr>
            <w:tcW w:w="4095" w:type="dxa"/>
            <w:gridSpan w:val="2"/>
            <w:tcBorders>
              <w:tl2br w:val="nil"/>
              <w:tr2bl w:val="nil"/>
            </w:tcBorders>
            <w:vAlign w:val="center"/>
          </w:tcPr>
          <w:p w14:paraId="1CFFB1BB">
            <w:pPr>
              <w:pStyle w:val="36"/>
              <w:widowControl w:val="0"/>
              <w:wordWrap/>
              <w:snapToGrid/>
              <w:spacing w:line="240" w:lineRule="auto"/>
              <w:jc w:val="left"/>
              <w:textAlignment w:val="auto"/>
              <w:rPr>
                <w:rFonts w:hint="eastAsia" w:ascii="仿宋" w:hAnsi="仿宋" w:eastAsia="仿宋" w:cs="仿宋"/>
                <w:color w:val="auto"/>
                <w:sz w:val="21"/>
                <w:szCs w:val="21"/>
                <w:lang w:eastAsia="zh-CN"/>
              </w:rPr>
            </w:pPr>
            <w:r>
              <w:rPr>
                <w:rFonts w:hint="eastAsia" w:ascii="仿宋" w:hAnsi="仿宋" w:eastAsia="仿宋" w:cs="仿宋"/>
                <w:color w:val="auto"/>
                <w:sz w:val="21"/>
                <w:szCs w:val="21"/>
                <w:lang w:val="en-US" w:eastAsia="zh-CN"/>
              </w:rPr>
              <w:t>20.</w:t>
            </w:r>
            <w:r>
              <w:rPr>
                <w:rFonts w:hint="eastAsia" w:ascii="仿宋" w:hAnsi="仿宋" w:eastAsia="仿宋" w:cs="仿宋"/>
                <w:color w:val="auto"/>
                <w:sz w:val="21"/>
                <w:szCs w:val="21"/>
              </w:rPr>
              <w:t>粮食综合生产能力</w:t>
            </w:r>
            <w:r>
              <w:rPr>
                <w:rFonts w:hint="eastAsia" w:ascii="仿宋" w:hAnsi="仿宋" w:eastAsia="仿宋" w:cs="仿宋"/>
                <w:color w:val="auto"/>
                <w:sz w:val="21"/>
                <w:szCs w:val="21"/>
                <w:lang w:eastAsia="zh-CN"/>
              </w:rPr>
              <w:t>（</w:t>
            </w:r>
            <w:r>
              <w:rPr>
                <w:rFonts w:hint="eastAsia" w:ascii="仿宋" w:hAnsi="仿宋" w:eastAsia="仿宋" w:cs="仿宋"/>
                <w:color w:val="auto"/>
                <w:sz w:val="21"/>
                <w:szCs w:val="21"/>
                <w:lang w:val="en-US" w:eastAsia="zh-CN"/>
              </w:rPr>
              <w:t>亿斤</w:t>
            </w:r>
            <w:r>
              <w:rPr>
                <w:rFonts w:hint="eastAsia" w:ascii="仿宋" w:hAnsi="仿宋" w:eastAsia="仿宋" w:cs="仿宋"/>
                <w:color w:val="auto"/>
                <w:sz w:val="21"/>
                <w:szCs w:val="21"/>
                <w:lang w:eastAsia="zh-CN"/>
              </w:rPr>
              <w:t>）</w:t>
            </w:r>
          </w:p>
        </w:tc>
        <w:tc>
          <w:tcPr>
            <w:tcW w:w="930" w:type="dxa"/>
            <w:tcBorders>
              <w:tl2br w:val="nil"/>
              <w:tr2bl w:val="nil"/>
            </w:tcBorders>
            <w:vAlign w:val="center"/>
          </w:tcPr>
          <w:p w14:paraId="6E19CB50">
            <w:pPr>
              <w:pStyle w:val="36"/>
              <w:widowControl w:val="0"/>
              <w:wordWrap/>
              <w:snapToGrid/>
              <w:spacing w:line="240" w:lineRule="auto"/>
              <w:jc w:val="center"/>
              <w:textAlignment w:val="auto"/>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14.03</w:t>
            </w:r>
          </w:p>
        </w:tc>
        <w:tc>
          <w:tcPr>
            <w:tcW w:w="885" w:type="dxa"/>
            <w:tcBorders>
              <w:tl2br w:val="nil"/>
              <w:tr2bl w:val="nil"/>
            </w:tcBorders>
            <w:vAlign w:val="center"/>
          </w:tcPr>
          <w:p w14:paraId="12BF17D1">
            <w:pPr>
              <w:pStyle w:val="36"/>
              <w:widowControl w:val="0"/>
              <w:wordWrap/>
              <w:snapToGrid/>
              <w:spacing w:line="240" w:lineRule="auto"/>
              <w:jc w:val="center"/>
              <w:textAlignment w:val="auto"/>
              <w:rPr>
                <w:rFonts w:hint="default"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15</w:t>
            </w:r>
          </w:p>
        </w:tc>
        <w:tc>
          <w:tcPr>
            <w:tcW w:w="915" w:type="dxa"/>
            <w:tcBorders>
              <w:tl2br w:val="nil"/>
              <w:tr2bl w:val="nil"/>
            </w:tcBorders>
            <w:vAlign w:val="center"/>
          </w:tcPr>
          <w:p w14:paraId="501232FB">
            <w:pPr>
              <w:pStyle w:val="36"/>
              <w:widowControl w:val="0"/>
              <w:wordWrap/>
              <w:snapToGrid/>
              <w:spacing w:line="240" w:lineRule="auto"/>
              <w:jc w:val="center"/>
              <w:textAlignment w:val="auto"/>
              <w:rPr>
                <w:rFonts w:hint="default"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1.4</w:t>
            </w:r>
          </w:p>
        </w:tc>
        <w:tc>
          <w:tcPr>
            <w:tcW w:w="870" w:type="dxa"/>
            <w:tcBorders>
              <w:tl2br w:val="nil"/>
              <w:tr2bl w:val="nil"/>
            </w:tcBorders>
            <w:vAlign w:val="center"/>
          </w:tcPr>
          <w:p w14:paraId="08650A66">
            <w:pPr>
              <w:pStyle w:val="36"/>
              <w:widowControl w:val="0"/>
              <w:wordWrap/>
              <w:snapToGrid/>
              <w:spacing w:line="240" w:lineRule="auto"/>
              <w:jc w:val="center"/>
              <w:textAlignment w:val="auto"/>
              <w:rPr>
                <w:rFonts w:hint="default"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13.92</w:t>
            </w:r>
          </w:p>
        </w:tc>
        <w:tc>
          <w:tcPr>
            <w:tcW w:w="900" w:type="dxa"/>
            <w:tcBorders>
              <w:tl2br w:val="nil"/>
              <w:tr2bl w:val="nil"/>
            </w:tcBorders>
            <w:vAlign w:val="center"/>
          </w:tcPr>
          <w:p w14:paraId="12F82E5D">
            <w:pPr>
              <w:pStyle w:val="36"/>
              <w:widowControl w:val="0"/>
              <w:wordWrap/>
              <w:snapToGrid/>
              <w:spacing w:line="240" w:lineRule="auto"/>
              <w:jc w:val="center"/>
              <w:textAlignment w:val="auto"/>
              <w:rPr>
                <w:rFonts w:hint="eastAsia" w:ascii="仿宋" w:hAnsi="仿宋" w:eastAsia="仿宋" w:cs="仿宋"/>
                <w:color w:val="auto"/>
                <w:sz w:val="21"/>
                <w:szCs w:val="21"/>
                <w:highlight w:val="none"/>
                <w:lang w:val="en-US" w:eastAsia="zh-CN"/>
              </w:rPr>
            </w:pPr>
            <w:r>
              <w:rPr>
                <w:rFonts w:hint="eastAsia" w:ascii="仿宋_GB2312" w:eastAsia="仿宋_GB2312"/>
                <w:color w:val="auto"/>
                <w:kern w:val="2"/>
                <w:sz w:val="21"/>
                <w:szCs w:val="22"/>
                <w:highlight w:val="none"/>
                <w:lang w:val="en-US" w:eastAsia="zh-CN" w:bidi="ar-SA"/>
              </w:rPr>
              <w:t>-</w:t>
            </w:r>
          </w:p>
        </w:tc>
        <w:tc>
          <w:tcPr>
            <w:tcW w:w="855" w:type="dxa"/>
            <w:tcBorders>
              <w:tl2br w:val="nil"/>
              <w:tr2bl w:val="nil"/>
            </w:tcBorders>
            <w:vAlign w:val="center"/>
          </w:tcPr>
          <w:p w14:paraId="07355610">
            <w:pPr>
              <w:pStyle w:val="36"/>
              <w:widowControl w:val="0"/>
              <w:wordWrap/>
              <w:snapToGrid/>
              <w:spacing w:line="240" w:lineRule="auto"/>
              <w:jc w:val="center"/>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预期性</w:t>
            </w:r>
          </w:p>
        </w:tc>
      </w:tr>
      <w:tr w14:paraId="33A53D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 w:hRule="atLeast"/>
          <w:jc w:val="center"/>
        </w:trPr>
        <w:tc>
          <w:tcPr>
            <w:tcW w:w="9450" w:type="dxa"/>
            <w:gridSpan w:val="8"/>
            <w:tcBorders>
              <w:tl2br w:val="nil"/>
              <w:tr2bl w:val="nil"/>
            </w:tcBorders>
            <w:vAlign w:val="center"/>
          </w:tcPr>
          <w:p w14:paraId="7C6A1C89">
            <w:pPr>
              <w:pStyle w:val="36"/>
              <w:widowControl w:val="0"/>
              <w:wordWrap/>
              <w:snapToGrid/>
              <w:spacing w:line="240" w:lineRule="auto"/>
              <w:jc w:val="center"/>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lang w:val="en-US" w:eastAsia="zh-CN"/>
              </w:rPr>
              <w:t>注：[]内数据为五年规划累计数</w:t>
            </w:r>
          </w:p>
        </w:tc>
      </w:tr>
    </w:tbl>
    <w:p w14:paraId="160863D3">
      <w:pPr>
        <w:keepNext/>
        <w:keepLines/>
        <w:pageBreakBefore w:val="0"/>
        <w:widowControl w:val="0"/>
        <w:numPr>
          <w:ilvl w:val="0"/>
          <w:numId w:val="0"/>
        </w:numPr>
        <w:kinsoku/>
        <w:wordWrap/>
        <w:overflowPunct/>
        <w:topLinePunct w:val="0"/>
        <w:autoSpaceDE/>
        <w:autoSpaceDN/>
        <w:bidi w:val="0"/>
        <w:adjustRightInd w:val="0"/>
        <w:snapToGrid w:val="0"/>
        <w:spacing w:before="156" w:beforeLines="50" w:after="156" w:afterLines="50" w:line="560" w:lineRule="exact"/>
        <w:ind w:leftChars="0"/>
        <w:jc w:val="center"/>
        <w:textAlignment w:val="auto"/>
        <w:outlineLvl w:val="2"/>
        <w:rPr>
          <w:rFonts w:hint="eastAsia" w:ascii="Times New Roman" w:hAnsi="Times New Roman" w:eastAsia="黑体" w:cs="Times New Roman"/>
          <w:b/>
          <w:bCs/>
          <w:color w:val="auto"/>
          <w:kern w:val="2"/>
          <w:sz w:val="32"/>
          <w:szCs w:val="32"/>
          <w:highlight w:val="none"/>
          <w:u w:val="none"/>
          <w:lang w:val="en-US" w:eastAsia="zh-CN" w:bidi="ar-SA"/>
        </w:rPr>
      </w:pPr>
      <w:bookmarkStart w:id="11" w:name="_Toc6055"/>
      <w:bookmarkStart w:id="12" w:name="_Toc1329"/>
      <w:bookmarkStart w:id="13" w:name="_Toc3072"/>
      <w:r>
        <w:rPr>
          <w:rFonts w:hint="eastAsia" w:ascii="Times New Roman" w:hAnsi="Times New Roman" w:eastAsia="黑体" w:cs="Times New Roman"/>
          <w:b/>
          <w:bCs/>
          <w:color w:val="auto"/>
          <w:kern w:val="2"/>
          <w:sz w:val="32"/>
          <w:szCs w:val="32"/>
          <w:highlight w:val="none"/>
          <w:u w:val="none"/>
          <w:lang w:val="en-US" w:eastAsia="zh-CN" w:bidi="ar-SA"/>
        </w:rPr>
        <w:t>第二节“十五五”发展环境</w:t>
      </w:r>
      <w:bookmarkEnd w:id="11"/>
      <w:bookmarkEnd w:id="12"/>
      <w:bookmarkEnd w:id="13"/>
    </w:p>
    <w:p w14:paraId="495196EB">
      <w:pPr>
        <w:pageBreakBefore w:val="0"/>
        <w:kinsoku/>
        <w:wordWrap/>
        <w:overflowPunct/>
        <w:topLinePunct w:val="0"/>
        <w:autoSpaceDE/>
        <w:bidi w:val="0"/>
        <w:adjustRightInd w:val="0"/>
        <w:snapToGrid w:val="0"/>
        <w:spacing w:line="560" w:lineRule="exact"/>
        <w:ind w:firstLine="640" w:firstLineChars="200"/>
        <w:textAlignment w:val="auto"/>
        <w:rPr>
          <w:rFonts w:hint="eastAsia" w:ascii="仿宋_GB2312" w:hAnsi="仿宋_GB2312" w:eastAsia="仿宋_GB2312" w:cs="仿宋_GB2312"/>
          <w:color w:val="auto"/>
          <w:kern w:val="2"/>
          <w:sz w:val="32"/>
          <w:szCs w:val="21"/>
          <w:u w:val="none"/>
          <w:lang w:val="en-US" w:eastAsia="zh-CN" w:bidi="ar-SA"/>
        </w:rPr>
      </w:pPr>
      <w:r>
        <w:rPr>
          <w:rFonts w:hint="eastAsia" w:ascii="仿宋_GB2312" w:hAnsi="仿宋_GB2312" w:eastAsia="仿宋_GB2312" w:cs="仿宋_GB2312"/>
          <w:color w:val="auto"/>
          <w:kern w:val="2"/>
          <w:sz w:val="32"/>
          <w:szCs w:val="21"/>
          <w:u w:val="none"/>
          <w:lang w:val="en-US" w:eastAsia="zh-CN" w:bidi="ar-SA"/>
        </w:rPr>
        <w:t>“十五五”时期，世界百年未有之大变局加速演进，我国正以中国式现代化全面推进强国建设、民族复兴伟业，国内处于产业结构优化升级、新旧动能加速转换的关键阶段，同时也面临矛盾风险易发高发的复杂局面。我县处于高质量建设现代化美好扶沟新征程的关键五年，国内外发展环境的重大变化，既为我们带来前所未有的严峻挑战，也造就了前所未有的重大机遇。</w:t>
      </w:r>
    </w:p>
    <w:p w14:paraId="1B274966">
      <w:pPr>
        <w:pageBreakBefore w:val="0"/>
        <w:kinsoku/>
        <w:wordWrap/>
        <w:overflowPunct/>
        <w:topLinePunct w:val="0"/>
        <w:autoSpaceDE/>
        <w:bidi w:val="0"/>
        <w:adjustRightInd w:val="0"/>
        <w:snapToGrid w:val="0"/>
        <w:spacing w:line="560" w:lineRule="exact"/>
        <w:ind w:firstLine="643" w:firstLineChars="200"/>
        <w:textAlignment w:val="auto"/>
        <w:rPr>
          <w:rFonts w:hint="eastAsia" w:ascii="仿宋_GB2312" w:hAnsi="仿宋_GB2312" w:eastAsia="仿宋_GB2312" w:cs="仿宋_GB2312"/>
          <w:color w:val="auto"/>
          <w:kern w:val="2"/>
          <w:sz w:val="32"/>
          <w:szCs w:val="21"/>
          <w:u w:val="none"/>
          <w:lang w:val="en-US" w:eastAsia="zh-CN" w:bidi="ar-SA"/>
        </w:rPr>
      </w:pPr>
      <w:r>
        <w:rPr>
          <w:rFonts w:hint="eastAsia" w:ascii="楷体_GB2312" w:hAnsi="楷体_GB2312" w:eastAsia="楷体_GB2312" w:cs="楷体_GB2312"/>
          <w:b/>
          <w:bCs/>
          <w:color w:val="auto"/>
          <w:kern w:val="2"/>
          <w:sz w:val="32"/>
          <w:szCs w:val="32"/>
          <w:u w:val="none"/>
          <w:lang w:val="en-US" w:eastAsia="zh-CN" w:bidi="ar-SA"/>
        </w:rPr>
        <w:t>从国际看，全球经济维持低位复苏态势，中国仍是世界经济增长的重要引擎。</w:t>
      </w:r>
      <w:r>
        <w:rPr>
          <w:rFonts w:hint="eastAsia" w:ascii="仿宋_GB2312" w:hAnsi="仿宋_GB2312" w:eastAsia="仿宋_GB2312" w:cs="仿宋_GB2312"/>
          <w:color w:val="auto"/>
          <w:kern w:val="2"/>
          <w:sz w:val="32"/>
          <w:szCs w:val="21"/>
          <w:u w:val="none"/>
          <w:lang w:val="en-US" w:eastAsia="zh-CN" w:bidi="ar-SA"/>
        </w:rPr>
        <w:t>世界经济复苏乏力态势仍将持续，发达经济体货币政策调整、债务风险累积、贫富分化加剧等问题，制约全球经济增长动能。贸易保护主义、单边主义抬头，以美国为首的部分国家设置关税壁垒、实施科技封锁，全球产业链供应链面临断链、脱钩风险，严重扰乱国际经贸秩序。地缘政治冲突频发，局部地区紧张局势加剧，能源、粮食等大宗商品价格波动剧烈，对全球供应链稳定和物价稳定构成重大威胁。特别是中美战略博弈显性对抗压力下，中国以产业技术革命性突破和国内供给体系升级为抓手，不仅抵御外部冲击，更以高质量发展持续彰显世界经济引擎的驱动作用。</w:t>
      </w:r>
    </w:p>
    <w:p w14:paraId="2CDDC455">
      <w:pPr>
        <w:pageBreakBefore w:val="0"/>
        <w:kinsoku/>
        <w:wordWrap/>
        <w:overflowPunct/>
        <w:topLinePunct w:val="0"/>
        <w:autoSpaceDE/>
        <w:bidi w:val="0"/>
        <w:adjustRightInd w:val="0"/>
        <w:snapToGrid w:val="0"/>
        <w:spacing w:line="560" w:lineRule="exact"/>
        <w:ind w:firstLine="643" w:firstLineChars="200"/>
        <w:textAlignment w:val="auto"/>
        <w:rPr>
          <w:rFonts w:hint="eastAsia" w:ascii="仿宋_GB2312" w:hAnsi="仿宋_GB2312" w:eastAsia="仿宋_GB2312" w:cs="仿宋_GB2312"/>
          <w:color w:val="auto"/>
          <w:kern w:val="2"/>
          <w:sz w:val="32"/>
          <w:szCs w:val="21"/>
          <w:u w:val="none"/>
          <w:lang w:val="en-US" w:eastAsia="zh-CN" w:bidi="ar-SA"/>
        </w:rPr>
      </w:pPr>
      <w:r>
        <w:rPr>
          <w:rFonts w:hint="eastAsia" w:ascii="楷体_GB2312" w:hAnsi="楷体_GB2312" w:eastAsia="楷体_GB2312" w:cs="楷体_GB2312"/>
          <w:b/>
          <w:bCs/>
          <w:color w:val="auto"/>
          <w:kern w:val="2"/>
          <w:sz w:val="32"/>
          <w:szCs w:val="32"/>
          <w:u w:val="none"/>
          <w:lang w:val="en-US" w:eastAsia="zh-CN" w:bidi="ar-SA"/>
        </w:rPr>
        <w:t>从国内看，经济稳中向好、长期向好的基本面未变，但风险挑战交织，转型任务艰巨，需深刻把握导向，主动作为、积极应变。</w:t>
      </w:r>
      <w:r>
        <w:rPr>
          <w:rFonts w:hint="eastAsia" w:ascii="仿宋_GB2312" w:hAnsi="仿宋_GB2312" w:eastAsia="仿宋_GB2312" w:cs="仿宋_GB2312"/>
          <w:color w:val="auto"/>
          <w:kern w:val="2"/>
          <w:sz w:val="32"/>
          <w:szCs w:val="21"/>
          <w:u w:val="none"/>
          <w:lang w:val="en-US" w:eastAsia="zh-CN" w:bidi="ar-SA"/>
        </w:rPr>
        <w:t>我国经济发展正全面转向高质量轨道，人工智能、量子信息、生物科技等前沿领域加速突破，战略性新兴产业蓬勃发展，将重塑经济增长格局，催生新质生产力。但内需不足及消费不振等问题依然突出，部分企业生产经营困难，群众就业增收面临压力，新建投资预期较弱，地方债务风险加重。在经济转型和外部挑战交织的背景下，影响到区域经济的稳定和健康发展。我国已经进入老龄化社会，人口老龄化将可能冲击劳动力要素市场、影响创新创业活动和消费需求，降低经济潜在增长率。“十五五”时期，伴随着新一轮城镇化推进，扶沟县地处非省会城市，就业机会相对偏少，高端产业平台不足，不仅对外吸引人才能力有限，也易导致大量青壮年尤其是高素质人才流向大城市和经济发达地区，对经济社会持续发展构成挑战。</w:t>
      </w:r>
    </w:p>
    <w:p w14:paraId="41096009">
      <w:pPr>
        <w:pageBreakBefore w:val="0"/>
        <w:kinsoku/>
        <w:wordWrap/>
        <w:overflowPunct/>
        <w:topLinePunct w:val="0"/>
        <w:autoSpaceDE/>
        <w:bidi w:val="0"/>
        <w:adjustRightInd w:val="0"/>
        <w:snapToGrid w:val="0"/>
        <w:spacing w:line="560" w:lineRule="exact"/>
        <w:ind w:firstLine="643" w:firstLineChars="200"/>
        <w:textAlignment w:val="auto"/>
        <w:rPr>
          <w:rFonts w:hint="eastAsia" w:ascii="仿宋_GB2312" w:hAnsi="仿宋_GB2312" w:eastAsia="仿宋_GB2312" w:cs="仿宋_GB2312"/>
          <w:color w:val="auto"/>
          <w:kern w:val="2"/>
          <w:sz w:val="32"/>
          <w:szCs w:val="21"/>
          <w:u w:val="none"/>
          <w:lang w:val="en-US" w:eastAsia="zh-CN" w:bidi="ar-SA"/>
        </w:rPr>
      </w:pPr>
      <w:r>
        <w:rPr>
          <w:rFonts w:hint="eastAsia" w:ascii="楷体_GB2312" w:hAnsi="楷体_GB2312" w:eastAsia="楷体_GB2312" w:cs="楷体_GB2312"/>
          <w:b/>
          <w:bCs/>
          <w:color w:val="auto"/>
          <w:kern w:val="2"/>
          <w:sz w:val="32"/>
          <w:szCs w:val="32"/>
          <w:u w:val="none"/>
          <w:lang w:val="en-US" w:eastAsia="zh-CN" w:bidi="ar-SA"/>
        </w:rPr>
        <w:t>从省内看，河南省、周口市宏伟蓝图为扶沟县发展指明了前进方向。</w:t>
      </w:r>
      <w:r>
        <w:rPr>
          <w:rFonts w:hint="eastAsia" w:ascii="仿宋_GB2312" w:hAnsi="仿宋_GB2312" w:eastAsia="仿宋_GB2312" w:cs="仿宋_GB2312"/>
          <w:color w:val="auto"/>
          <w:kern w:val="2"/>
          <w:sz w:val="32"/>
          <w:szCs w:val="21"/>
          <w:u w:val="none"/>
          <w:lang w:val="en-US" w:eastAsia="zh-CN" w:bidi="ar-SA"/>
        </w:rPr>
        <w:t>“两高四着力”对河南发展精准把脉和科学谋划，具有极强的政治性、战略性、指导性和针对性，为做好各项工作提供了根本遵循。河南省确定以建设农业强省、打造国家先进制造业集群、发展枢纽经济为核心的战略部署，与周口市锚定“两个确保”、实施“十大战略”的发展路径形成叠加赋能，为扶沟县精准定位发展坐标提供了根本遵循。在农业领域，深化与中原农谷、周口国家农高区协同，推进新优蔬菜品种研发基地建设，通过“七大行动”做强“扶沟蔬菜”品牌，筑牢“一粒良种到一桌好菜”的全产业链根基，与全省粮食安全保障和特色农业集群发展布局同频共振。在工业转型上，聚焦新能源汽车零部件、纺织印染等优势产业，加快嘉乐华汽车配饰、中垣环保科技印染产业园等项目建设，推动金泰金属等企业融入高端供应链，实现与全省产业升级方向的深度对接。在城乡发展与营商环境领域，推动城市更新行动、深化“一网通办”改革、创建“六最”营商环境，助力县域在全省区域协调发展格局中实现能级跃升。</w:t>
      </w:r>
    </w:p>
    <w:p w14:paraId="75809644">
      <w:pPr>
        <w:pageBreakBefore w:val="0"/>
        <w:kinsoku/>
        <w:wordWrap/>
        <w:overflowPunct/>
        <w:topLinePunct w:val="0"/>
        <w:autoSpaceDE/>
        <w:bidi w:val="0"/>
        <w:adjustRightInd w:val="0"/>
        <w:snapToGrid w:val="0"/>
        <w:spacing w:line="560" w:lineRule="exact"/>
        <w:ind w:firstLine="643" w:firstLineChars="200"/>
        <w:textAlignment w:val="auto"/>
        <w:rPr>
          <w:rFonts w:hint="eastAsia" w:ascii="仿宋_GB2312" w:hAnsi="仿宋_GB2312" w:eastAsia="仿宋_GB2312" w:cs="仿宋_GB2312"/>
          <w:color w:val="auto"/>
          <w:kern w:val="2"/>
          <w:sz w:val="32"/>
          <w:szCs w:val="21"/>
          <w:u w:val="none"/>
          <w:lang w:val="en-US" w:eastAsia="zh-CN" w:bidi="ar-SA"/>
        </w:rPr>
      </w:pPr>
      <w:r>
        <w:rPr>
          <w:rFonts w:hint="eastAsia" w:ascii="楷体_GB2312" w:hAnsi="楷体_GB2312" w:eastAsia="楷体_GB2312" w:cs="楷体_GB2312"/>
          <w:b/>
          <w:bCs/>
          <w:color w:val="auto"/>
          <w:kern w:val="2"/>
          <w:sz w:val="32"/>
          <w:szCs w:val="32"/>
          <w:u w:val="none"/>
          <w:lang w:val="en-US" w:eastAsia="zh-CN" w:bidi="ar-SA"/>
        </w:rPr>
        <w:t>从扶沟自身看，发展机遇和优势更加明晰，但问题挑战压力增大，需要把握机遇、建功先锋。</w:t>
      </w:r>
      <w:r>
        <w:rPr>
          <w:rFonts w:hint="eastAsia" w:ascii="仿宋_GB2312" w:hAnsi="仿宋_GB2312" w:eastAsia="仿宋_GB2312" w:cs="仿宋_GB2312"/>
          <w:color w:val="auto"/>
          <w:kern w:val="2"/>
          <w:sz w:val="32"/>
          <w:szCs w:val="21"/>
          <w:u w:val="none"/>
          <w:lang w:val="en-US" w:eastAsia="zh-CN" w:bidi="ar-SA"/>
        </w:rPr>
        <w:t>当前和今后一个时期，扶沟县面临风险挑战并存，转型发展任务艰巨，处于城乡建设迈向更高水平、产业结构转向深度调整、高质量发展实现重大进展的战略机遇期，更是我县发展厚积薄发、突破崛起的关键阶段，推动经济实力、科技实力、综合实力持续提升的黄金战略期。</w:t>
      </w:r>
    </w:p>
    <w:p w14:paraId="4B0ADE79">
      <w:pPr>
        <w:pageBreakBefore w:val="0"/>
        <w:kinsoku/>
        <w:wordWrap/>
        <w:overflowPunct/>
        <w:topLinePunct w:val="0"/>
        <w:autoSpaceDE/>
        <w:bidi w:val="0"/>
        <w:adjustRightInd w:val="0"/>
        <w:snapToGrid w:val="0"/>
        <w:spacing w:line="560" w:lineRule="exact"/>
        <w:ind w:firstLine="643" w:firstLineChars="200"/>
        <w:textAlignment w:val="auto"/>
        <w:rPr>
          <w:rFonts w:hint="eastAsia" w:ascii="仿宋_GB2312" w:hAnsi="仿宋_GB2312" w:eastAsia="仿宋_GB2312" w:cs="仿宋_GB2312"/>
          <w:color w:val="auto"/>
          <w:kern w:val="2"/>
          <w:sz w:val="32"/>
          <w:szCs w:val="21"/>
          <w:highlight w:val="yellow"/>
          <w:u w:val="none"/>
          <w:lang w:val="en-US" w:eastAsia="zh-CN" w:bidi="ar-SA"/>
        </w:rPr>
      </w:pPr>
      <w:r>
        <w:rPr>
          <w:rFonts w:hint="eastAsia" w:ascii="楷体_GB2312" w:hAnsi="楷体_GB2312" w:eastAsia="楷体_GB2312" w:cs="楷体_GB2312"/>
          <w:b/>
          <w:bCs/>
          <w:color w:val="auto"/>
          <w:kern w:val="2"/>
          <w:sz w:val="32"/>
          <w:szCs w:val="32"/>
          <w:u w:val="none"/>
          <w:lang w:val="en-US" w:eastAsia="zh-CN" w:bidi="ar-SA"/>
        </w:rPr>
        <w:t>面临“四大机遇”。</w:t>
      </w:r>
      <w:r>
        <w:rPr>
          <w:rFonts w:hint="eastAsia" w:ascii="仿宋_GB2312" w:hAnsi="仿宋_GB2312" w:eastAsia="仿宋_GB2312" w:cs="仿宋_GB2312"/>
          <w:b/>
          <w:bCs/>
          <w:color w:val="auto"/>
          <w:kern w:val="2"/>
          <w:sz w:val="32"/>
          <w:szCs w:val="21"/>
          <w:u w:val="none"/>
          <w:lang w:val="en-US" w:eastAsia="zh-CN" w:bidi="ar-SA"/>
        </w:rPr>
        <w:t>一是国家乡村振兴战略深化带来城乡融合发展机遇。</w:t>
      </w:r>
      <w:r>
        <w:rPr>
          <w:rFonts w:hint="eastAsia" w:ascii="仿宋_GB2312" w:hAnsi="仿宋_GB2312" w:eastAsia="仿宋_GB2312" w:cs="仿宋_GB2312"/>
          <w:color w:val="auto"/>
          <w:kern w:val="2"/>
          <w:sz w:val="32"/>
          <w:szCs w:val="21"/>
          <w:u w:val="none"/>
          <w:lang w:val="en-US" w:eastAsia="zh-CN" w:bidi="ar-SA"/>
        </w:rPr>
        <w:t>党的二十大明确提出“全面推进乡村振兴，加快建设农业强国”，中央一号文件持续聚焦“三农”高质量发展。扶沟县作为传统农业大县，存在农村基础设施薄弱、农业产业链条短、城乡要素流动不畅等短板，通过系统性实施乡村振兴战略，可推动农田水利升级、特色农业提质、人居环境改善，实现城乡融合可持续发展；打造“中原粮仓”品质名片、推进全域“和美乡村”建设、发展农产品精深加工与乡村旅游融合产业；在城乡转型中紧扣“高质量发展”要求，注重科技赋能、绿色低碳、品牌引领的内涵式增长。“十五五”时期建设农业强县，深入推进乡村振兴行动为我县带来政策红利、产业增值、城乡均衡等多重机遇，为全县高质量发展注入基础动力。</w:t>
      </w:r>
      <w:r>
        <w:rPr>
          <w:rFonts w:hint="eastAsia" w:ascii="仿宋_GB2312" w:hAnsi="仿宋_GB2312" w:eastAsia="仿宋_GB2312" w:cs="仿宋_GB2312"/>
          <w:b/>
          <w:bCs/>
          <w:color w:val="auto"/>
          <w:kern w:val="2"/>
          <w:sz w:val="32"/>
          <w:szCs w:val="21"/>
          <w:u w:val="none"/>
          <w:lang w:val="en-US" w:eastAsia="zh-CN" w:bidi="ar-SA"/>
        </w:rPr>
        <w:t>二是科技革命带来产业升级机遇。</w:t>
      </w:r>
      <w:r>
        <w:rPr>
          <w:rFonts w:hint="eastAsia" w:ascii="仿宋_GB2312" w:hAnsi="仿宋_GB2312" w:eastAsia="仿宋_GB2312" w:cs="仿宋_GB2312"/>
          <w:color w:val="auto"/>
          <w:kern w:val="2"/>
          <w:sz w:val="32"/>
          <w:szCs w:val="21"/>
          <w:u w:val="none"/>
          <w:lang w:val="en-US" w:eastAsia="zh-CN" w:bidi="ar-SA"/>
        </w:rPr>
        <w:t>科技革命与产业变革是重塑县域经济格局的关键力量。当前，智慧农业、生物技术、数字物流等前沿领域深度融合，正深刻改变农业生产生态与发展路径。我县蔬菜种植、畜禽养殖等传统产业根基深厚，农产品加工园区初具规模，具备承接技术转化的良好基础。在未来产业布局智慧农业装备、农产品生物育种、预制菜加工等赛道，依托县农科所、农产品加工产业园等载体，推动传统农业向“科技+品牌+电商”的现代化模式转型。我县装备制造、纺织服装产业抢抓产业转移风口，借助科技创新实现爆发式增长。现代食品、节能环保、新材料产业规模不断壮大，具备良好的产业基础。在未来产业布局未来制造、未来能源等赛道，依托先进制造业开发区等载体，培育一批“专精特新”企业。</w:t>
      </w:r>
      <w:r>
        <w:rPr>
          <w:rFonts w:hint="eastAsia" w:ascii="仿宋_GB2312" w:hAnsi="仿宋_GB2312" w:eastAsia="仿宋_GB2312" w:cs="仿宋_GB2312"/>
          <w:b/>
          <w:bCs/>
          <w:color w:val="auto"/>
          <w:kern w:val="2"/>
          <w:sz w:val="32"/>
          <w:szCs w:val="21"/>
          <w:u w:val="none"/>
          <w:lang w:val="en-US" w:eastAsia="zh-CN" w:bidi="ar-SA"/>
        </w:rPr>
        <w:t>三是全国统一大市场带来临港经济联动机遇。</w:t>
      </w:r>
      <w:r>
        <w:rPr>
          <w:rFonts w:hint="eastAsia" w:ascii="仿宋_GB2312" w:hAnsi="仿宋_GB2312" w:eastAsia="仿宋_GB2312" w:cs="仿宋_GB2312"/>
          <w:color w:val="auto"/>
          <w:kern w:val="2"/>
          <w:sz w:val="32"/>
          <w:szCs w:val="21"/>
          <w:u w:val="none"/>
          <w:lang w:val="en-US" w:eastAsia="zh-CN" w:bidi="ar-SA"/>
        </w:rPr>
        <w:t>习近平总书记强调“建设全国统一大市场是构建新发展格局、推动高质量发展的需要”。全国统一大市场建设，核心是打破壁垒、畅通循环，为内陆县域带来开放新契机。扶沟县紧邻周口港这一国家物流枢纽承载地，处于“周口—漯河枢纽经济先行区”辐射范围，是豫东产品流通的重要节点。随着贾鲁河通航规划实施、沙颍河航道“四升三”工程完工及周口港航线加密，我县可深度融入“中原地区—长江经济带”经济廊道，在农产品冷链物流、临港配套加工、跨区域贸易等领域开展深度合作，借助周口保税物流中心政策优势，提升产品出口便利化水平，打造县域临港经济协作样板。</w:t>
      </w:r>
      <w:r>
        <w:rPr>
          <w:rFonts w:hint="eastAsia" w:ascii="仿宋_GB2312" w:hAnsi="仿宋_GB2312" w:eastAsia="仿宋_GB2312" w:cs="仿宋_GB2312"/>
          <w:b/>
          <w:bCs/>
          <w:color w:val="auto"/>
          <w:kern w:val="2"/>
          <w:sz w:val="32"/>
          <w:szCs w:val="21"/>
          <w:u w:val="none"/>
          <w:lang w:val="en-US" w:eastAsia="zh-CN" w:bidi="ar-SA"/>
        </w:rPr>
        <w:t>四是综合资源禀赋带来价值跃升机遇。</w:t>
      </w:r>
      <w:r>
        <w:rPr>
          <w:rFonts w:hint="eastAsia" w:ascii="仿宋_GB2312" w:hAnsi="仿宋_GB2312" w:eastAsia="仿宋_GB2312" w:cs="仿宋_GB2312"/>
          <w:color w:val="auto"/>
          <w:kern w:val="2"/>
          <w:sz w:val="32"/>
          <w:szCs w:val="21"/>
          <w:u w:val="none"/>
          <w:lang w:val="en-US" w:eastAsia="zh-CN" w:bidi="ar-SA"/>
        </w:rPr>
        <w:t>“十五五”时期，随着交通网络完善与产业政策落地，扶沟县农业资源、交通区位、生态基底等综合优势将进一步叠加释放。依托优质耕地资源与农科优势，深化“吨粮田”建设与良种培育，打造黄淮地区优质农产品供给高地；依托大广高速、郑合高铁交汇优势，建设“公路+铁路+港口”枢纽经济先行先试区；促进农文旅深度融合，依托吉鸿昌纪念馆红色资源与乡村生态资源，推动“红色教育+农耕体验”融合发展；深化产学研合作，推动工农业科技成果本地转化，实现“资源优势→产业优势→竞争优势”的跨越式提升。</w:t>
      </w:r>
    </w:p>
    <w:p w14:paraId="0FAB61F8">
      <w:pPr>
        <w:pageBreakBefore w:val="0"/>
        <w:kinsoku/>
        <w:wordWrap/>
        <w:overflowPunct/>
        <w:topLinePunct w:val="0"/>
        <w:autoSpaceDE/>
        <w:bidi w:val="0"/>
        <w:adjustRightInd w:val="0"/>
        <w:snapToGrid w:val="0"/>
        <w:spacing w:line="560" w:lineRule="exact"/>
        <w:ind w:firstLine="640" w:firstLineChars="200"/>
        <w:textAlignment w:val="auto"/>
        <w:rPr>
          <w:rFonts w:hint="eastAsia" w:ascii="仿宋_GB2312" w:hAnsi="仿宋_GB2312" w:eastAsia="仿宋_GB2312" w:cs="仿宋_GB2312"/>
          <w:color w:val="auto"/>
          <w:kern w:val="2"/>
          <w:sz w:val="32"/>
          <w:szCs w:val="21"/>
          <w:highlight w:val="none"/>
          <w:u w:val="none"/>
          <w:lang w:val="en-US" w:eastAsia="zh-CN" w:bidi="ar-SA"/>
        </w:rPr>
      </w:pPr>
      <w:r>
        <w:rPr>
          <w:rFonts w:hint="eastAsia" w:ascii="仿宋_GB2312" w:hAnsi="仿宋_GB2312" w:eastAsia="仿宋_GB2312" w:cs="仿宋_GB2312"/>
          <w:color w:val="auto"/>
          <w:kern w:val="2"/>
          <w:sz w:val="32"/>
          <w:szCs w:val="21"/>
          <w:highlight w:val="none"/>
          <w:u w:val="none"/>
          <w:lang w:val="en-US" w:eastAsia="zh-CN" w:bidi="ar-SA"/>
        </w:rPr>
        <w:t>综合研判，“十五五”时期，我县发展机遇和挑战并存，但机遇大于挑战。全县上下必须保持战略清醒，树牢有解思维，深刻把握国家和省、市重大战略，着眼于把中国式现代化建设贯穿全过程，谋深谋实未来五年的发展蓝图、顶层设计，在周口国家区域中心港口城市建设中体现扶沟担当、贡献扶沟样本、展现扶沟风采。</w:t>
      </w:r>
    </w:p>
    <w:p w14:paraId="0729F357">
      <w:pPr>
        <w:pStyle w:val="2"/>
        <w:bidi w:val="0"/>
        <w:jc w:val="center"/>
        <w:rPr>
          <w:rFonts w:hint="eastAsia" w:ascii="Times New Roman" w:hAnsi="Times New Roman" w:eastAsia="方正小标宋_GBK" w:cs="Times New Roman"/>
          <w:b/>
          <w:color w:val="auto"/>
          <w:kern w:val="2"/>
          <w:sz w:val="36"/>
          <w:szCs w:val="36"/>
          <w:highlight w:val="none"/>
          <w:u w:val="none"/>
          <w:lang w:val="en-US" w:eastAsia="zh-CN" w:bidi="ar-SA"/>
        </w:rPr>
      </w:pPr>
      <w:bookmarkStart w:id="14" w:name="_Toc10506"/>
      <w:bookmarkStart w:id="15" w:name="_Toc18955"/>
      <w:bookmarkStart w:id="16" w:name="_Toc6153"/>
      <w:bookmarkStart w:id="17" w:name="_Toc20349"/>
      <w:r>
        <w:rPr>
          <w:rFonts w:hint="default" w:ascii="Times New Roman" w:hAnsi="Times New Roman" w:eastAsia="方正小标宋_GBK" w:cs="Times New Roman"/>
          <w:b/>
          <w:color w:val="auto"/>
          <w:kern w:val="2"/>
          <w:sz w:val="44"/>
          <w:szCs w:val="44"/>
          <w:highlight w:val="none"/>
        </w:rPr>
        <w:t>第二篇：</w:t>
      </w:r>
      <w:r>
        <w:rPr>
          <w:rFonts w:hint="eastAsia" w:ascii="Times New Roman" w:hAnsi="Times New Roman" w:eastAsia="方正小标宋_GBK" w:cs="Times New Roman"/>
          <w:b/>
          <w:color w:val="auto"/>
          <w:kern w:val="2"/>
          <w:sz w:val="44"/>
          <w:szCs w:val="44"/>
          <w:highlight w:val="none"/>
          <w:lang w:val="en-US" w:eastAsia="zh-CN"/>
        </w:rPr>
        <w:t>展望</w:t>
      </w:r>
      <w:r>
        <w:rPr>
          <w:rFonts w:hint="default" w:ascii="Times New Roman" w:hAnsi="Times New Roman" w:eastAsia="方正小标宋_GBK" w:cs="Times New Roman"/>
          <w:b/>
          <w:color w:val="auto"/>
          <w:kern w:val="2"/>
          <w:sz w:val="44"/>
          <w:szCs w:val="44"/>
          <w:highlight w:val="none"/>
        </w:rPr>
        <w:t>“十五五”——锚定目标</w:t>
      </w:r>
      <w:bookmarkEnd w:id="14"/>
      <w:r>
        <w:rPr>
          <w:rFonts w:hint="eastAsia" w:ascii="Times New Roman" w:hAnsi="Times New Roman" w:eastAsia="方正小标宋_GBK" w:cs="Times New Roman"/>
          <w:b/>
          <w:color w:val="auto"/>
          <w:kern w:val="2"/>
          <w:sz w:val="44"/>
          <w:szCs w:val="44"/>
          <w:highlight w:val="none"/>
          <w:lang w:val="en-US" w:eastAsia="zh-CN"/>
        </w:rPr>
        <w:t>明方向</w:t>
      </w:r>
      <w:bookmarkEnd w:id="15"/>
      <w:bookmarkEnd w:id="16"/>
      <w:bookmarkEnd w:id="17"/>
    </w:p>
    <w:p w14:paraId="74862663">
      <w:pPr>
        <w:keepNext/>
        <w:keepLines/>
        <w:pageBreakBefore w:val="0"/>
        <w:widowControl w:val="0"/>
        <w:numPr>
          <w:ilvl w:val="0"/>
          <w:numId w:val="0"/>
        </w:numPr>
        <w:kinsoku/>
        <w:wordWrap/>
        <w:overflowPunct/>
        <w:topLinePunct w:val="0"/>
        <w:autoSpaceDE/>
        <w:autoSpaceDN/>
        <w:bidi w:val="0"/>
        <w:adjustRightInd w:val="0"/>
        <w:snapToGrid w:val="0"/>
        <w:spacing w:before="541" w:beforeLines="150" w:after="439" w:afterLines="100" w:line="560" w:lineRule="exact"/>
        <w:ind w:leftChars="0"/>
        <w:jc w:val="center"/>
        <w:textAlignment w:val="auto"/>
        <w:outlineLvl w:val="1"/>
        <w:rPr>
          <w:rFonts w:hint="eastAsia" w:ascii="Times New Roman" w:hAnsi="Times New Roman" w:eastAsia="方正小标宋_GBK" w:cs="Times New Roman"/>
          <w:b/>
          <w:color w:val="auto"/>
          <w:kern w:val="2"/>
          <w:sz w:val="36"/>
          <w:szCs w:val="36"/>
          <w:highlight w:val="none"/>
          <w:u w:val="none"/>
          <w:lang w:val="en-US" w:eastAsia="zh-CN" w:bidi="ar-SA"/>
        </w:rPr>
      </w:pPr>
      <w:bookmarkStart w:id="18" w:name="_Toc16312"/>
      <w:bookmarkStart w:id="19" w:name="_Toc5798"/>
      <w:bookmarkStart w:id="20" w:name="_Toc9690"/>
      <w:r>
        <w:rPr>
          <w:rFonts w:hint="eastAsia" w:ascii="Times New Roman" w:hAnsi="Times New Roman" w:eastAsia="方正小标宋_GBK" w:cs="Times New Roman"/>
          <w:b/>
          <w:color w:val="auto"/>
          <w:kern w:val="2"/>
          <w:sz w:val="36"/>
          <w:szCs w:val="36"/>
          <w:highlight w:val="none"/>
          <w:u w:val="none"/>
          <w:lang w:val="en-US" w:eastAsia="zh-CN" w:bidi="ar-SA"/>
        </w:rPr>
        <w:t>第二章立足新起点，擘画未来发展新蓝图</w:t>
      </w:r>
      <w:bookmarkEnd w:id="18"/>
      <w:bookmarkEnd w:id="19"/>
      <w:bookmarkEnd w:id="20"/>
    </w:p>
    <w:p w14:paraId="54BAD69E">
      <w:pPr>
        <w:keepNext/>
        <w:keepLines/>
        <w:pageBreakBefore w:val="0"/>
        <w:widowControl w:val="0"/>
        <w:numPr>
          <w:ilvl w:val="0"/>
          <w:numId w:val="0"/>
        </w:numPr>
        <w:kinsoku/>
        <w:wordWrap/>
        <w:overflowPunct/>
        <w:topLinePunct w:val="0"/>
        <w:autoSpaceDE/>
        <w:autoSpaceDN/>
        <w:bidi w:val="0"/>
        <w:adjustRightInd w:val="0"/>
        <w:snapToGrid w:val="0"/>
        <w:spacing w:before="156" w:beforeLines="50" w:after="156" w:afterLines="50" w:line="560" w:lineRule="exact"/>
        <w:ind w:leftChars="0"/>
        <w:jc w:val="center"/>
        <w:textAlignment w:val="auto"/>
        <w:outlineLvl w:val="2"/>
        <w:rPr>
          <w:rFonts w:hint="eastAsia" w:ascii="Times New Roman" w:hAnsi="Times New Roman" w:eastAsia="黑体" w:cs="Times New Roman"/>
          <w:b/>
          <w:bCs/>
          <w:color w:val="auto"/>
          <w:kern w:val="2"/>
          <w:sz w:val="32"/>
          <w:szCs w:val="32"/>
          <w:highlight w:val="none"/>
          <w:u w:val="none"/>
          <w:lang w:val="en-US" w:eastAsia="zh-CN" w:bidi="ar-SA"/>
        </w:rPr>
      </w:pPr>
      <w:bookmarkStart w:id="21" w:name="_Toc1877"/>
      <w:bookmarkStart w:id="22" w:name="_Toc31880"/>
      <w:bookmarkStart w:id="23" w:name="_Toc13595"/>
      <w:r>
        <w:rPr>
          <w:rFonts w:hint="eastAsia" w:ascii="Times New Roman" w:hAnsi="Times New Roman" w:eastAsia="黑体" w:cs="Times New Roman"/>
          <w:b/>
          <w:bCs/>
          <w:color w:val="auto"/>
          <w:kern w:val="2"/>
          <w:sz w:val="32"/>
          <w:szCs w:val="32"/>
          <w:highlight w:val="none"/>
          <w:u w:val="none"/>
          <w:lang w:val="en-US" w:eastAsia="zh-CN" w:bidi="ar-SA"/>
        </w:rPr>
        <w:t>第一节指导思想</w:t>
      </w:r>
      <w:bookmarkEnd w:id="21"/>
      <w:bookmarkEnd w:id="22"/>
      <w:bookmarkEnd w:id="23"/>
    </w:p>
    <w:p w14:paraId="1F061E98">
      <w:pPr>
        <w:pageBreakBefore w:val="0"/>
        <w:kinsoku/>
        <w:wordWrap/>
        <w:overflowPunct/>
        <w:topLinePunct w:val="0"/>
        <w:autoSpaceDE/>
        <w:bidi w:val="0"/>
        <w:adjustRightInd w:val="0"/>
        <w:snapToGrid w:val="0"/>
        <w:spacing w:line="560" w:lineRule="exact"/>
        <w:ind w:firstLine="640" w:firstLineChars="200"/>
        <w:textAlignment w:val="auto"/>
        <w:rPr>
          <w:rFonts w:hint="eastAsia" w:ascii="仿宋_GB2312" w:hAnsi="仿宋_GB2312" w:eastAsia="仿宋_GB2312" w:cs="仿宋_GB2312"/>
          <w:color w:val="auto"/>
          <w:kern w:val="2"/>
          <w:sz w:val="32"/>
          <w:szCs w:val="21"/>
          <w:u w:val="none"/>
          <w:lang w:val="en-US" w:eastAsia="zh-CN" w:bidi="ar-SA"/>
        </w:rPr>
      </w:pPr>
      <w:r>
        <w:rPr>
          <w:rFonts w:hint="eastAsia" w:ascii="仿宋_GB2312" w:hAnsi="仿宋_GB2312" w:eastAsia="仿宋_GB2312" w:cs="仿宋_GB2312"/>
          <w:color w:val="auto"/>
          <w:kern w:val="2"/>
          <w:sz w:val="32"/>
          <w:szCs w:val="21"/>
          <w:highlight w:val="none"/>
          <w:u w:val="none"/>
          <w:lang w:val="en-US" w:eastAsia="zh-CN" w:bidi="ar-SA"/>
        </w:rPr>
        <w:t>坚持马克思列宁主义、毛泽东思想、邓小平理论、“三个代表”重要思想、科学发展观，全面贯彻习近平新时代中国特色社会主义思想，深入贯彻党的二十大和二十届历次全会精神，深入贯彻落实习近平总书记关于河南工作的重要论述，统筹推进“五位一体”总体布局，协调推进“四个全面”战略布局，完整准确全面贯彻新发展理念，加快构建新发展格局，坚持稳中求进工作总基调，坚持以经济建设为中心，以推动高质量发展为主题，以改革创新为根本动力，突出产业升级、乡村振兴、城镇提质、对外开放、民生改善、治理增效六大重点，着力建设“五县”（农业强县、工业兴县、文旅活县、交通畅县、教育名县），打造“五扶沟”（文明扶沟、富裕扶沟、平安扶沟、宜居扶沟、美丽扶沟），以现代化美好扶沟建设为周口国家区域中心港口城市建设贡献坚实力量。</w:t>
      </w:r>
    </w:p>
    <w:p w14:paraId="42742D43">
      <w:pPr>
        <w:keepNext/>
        <w:keepLines/>
        <w:pageBreakBefore w:val="0"/>
        <w:widowControl w:val="0"/>
        <w:numPr>
          <w:ilvl w:val="0"/>
          <w:numId w:val="0"/>
        </w:numPr>
        <w:kinsoku/>
        <w:wordWrap/>
        <w:overflowPunct/>
        <w:topLinePunct w:val="0"/>
        <w:autoSpaceDE/>
        <w:autoSpaceDN/>
        <w:bidi w:val="0"/>
        <w:adjustRightInd w:val="0"/>
        <w:snapToGrid w:val="0"/>
        <w:spacing w:before="156" w:beforeLines="50" w:after="156" w:afterLines="50" w:line="560" w:lineRule="exact"/>
        <w:ind w:leftChars="0"/>
        <w:jc w:val="center"/>
        <w:textAlignment w:val="auto"/>
        <w:outlineLvl w:val="2"/>
        <w:rPr>
          <w:rFonts w:hint="eastAsia" w:ascii="Times New Roman" w:hAnsi="Times New Roman" w:eastAsia="黑体" w:cs="Times New Roman"/>
          <w:b/>
          <w:bCs/>
          <w:color w:val="auto"/>
          <w:kern w:val="2"/>
          <w:sz w:val="32"/>
          <w:szCs w:val="32"/>
          <w:highlight w:val="none"/>
          <w:u w:val="none"/>
          <w:lang w:val="en-US" w:eastAsia="zh-CN" w:bidi="ar-SA"/>
        </w:rPr>
      </w:pPr>
      <w:bookmarkStart w:id="24" w:name="_Toc16018"/>
      <w:bookmarkStart w:id="25" w:name="_Toc32343"/>
      <w:bookmarkStart w:id="26" w:name="_Toc12730"/>
      <w:r>
        <w:rPr>
          <w:rFonts w:hint="eastAsia" w:ascii="Times New Roman" w:hAnsi="Times New Roman" w:eastAsia="黑体" w:cs="Times New Roman"/>
          <w:b/>
          <w:bCs/>
          <w:color w:val="auto"/>
          <w:kern w:val="2"/>
          <w:sz w:val="32"/>
          <w:szCs w:val="32"/>
          <w:highlight w:val="none"/>
          <w:u w:val="none"/>
          <w:lang w:val="en-US" w:eastAsia="zh-CN" w:bidi="ar-SA"/>
        </w:rPr>
        <w:t>第二节基本原则</w:t>
      </w:r>
      <w:bookmarkEnd w:id="24"/>
      <w:bookmarkEnd w:id="25"/>
      <w:bookmarkEnd w:id="26"/>
    </w:p>
    <w:p w14:paraId="4FA0973F">
      <w:pPr>
        <w:pageBreakBefore w:val="0"/>
        <w:kinsoku/>
        <w:wordWrap/>
        <w:overflowPunct/>
        <w:topLinePunct w:val="0"/>
        <w:autoSpaceDE/>
        <w:bidi w:val="0"/>
        <w:adjustRightInd w:val="0"/>
        <w:snapToGrid w:val="0"/>
        <w:spacing w:line="560" w:lineRule="exact"/>
        <w:ind w:firstLine="640" w:firstLineChars="200"/>
        <w:textAlignment w:val="auto"/>
        <w:rPr>
          <w:rFonts w:hint="eastAsia" w:ascii="仿宋_GB2312" w:hAnsi="仿宋_GB2312" w:eastAsia="仿宋_GB2312" w:cs="仿宋_GB2312"/>
          <w:color w:val="auto"/>
          <w:kern w:val="2"/>
          <w:sz w:val="32"/>
          <w:szCs w:val="21"/>
          <w:u w:val="none"/>
          <w:lang w:val="en-US" w:eastAsia="zh-CN" w:bidi="ar-SA"/>
        </w:rPr>
      </w:pPr>
      <w:r>
        <w:rPr>
          <w:rFonts w:hint="eastAsia" w:ascii="仿宋_GB2312" w:hAnsi="仿宋_GB2312" w:eastAsia="仿宋_GB2312" w:cs="仿宋_GB2312"/>
          <w:color w:val="auto"/>
          <w:kern w:val="2"/>
          <w:sz w:val="32"/>
          <w:szCs w:val="21"/>
          <w:u w:val="none"/>
          <w:lang w:val="en-US" w:eastAsia="zh-CN" w:bidi="ar-SA"/>
        </w:rPr>
        <w:t>结合《中共中央关于制定国民经济和社会发展第十五个五年规划的建议》，严格遵循坚持党的全面领导、坚持人民至上、坚持高质量发展、坚持全面深化改革、坚持有效市场和有为政府相结合、坚持统筹发展和安全原则的基础上，推动“十五五”时期经济社会发展，牢牢把握以下四个原则。</w:t>
      </w:r>
    </w:p>
    <w:p w14:paraId="0034F958">
      <w:pPr>
        <w:pageBreakBefore w:val="0"/>
        <w:kinsoku/>
        <w:wordWrap/>
        <w:overflowPunct/>
        <w:topLinePunct w:val="0"/>
        <w:autoSpaceDE/>
        <w:bidi w:val="0"/>
        <w:adjustRightInd w:val="0"/>
        <w:snapToGrid w:val="0"/>
        <w:spacing w:line="560" w:lineRule="exact"/>
        <w:ind w:firstLine="643" w:firstLineChars="200"/>
        <w:textAlignment w:val="auto"/>
        <w:rPr>
          <w:rFonts w:hint="eastAsia" w:ascii="仿宋_GB2312" w:hAnsi="仿宋_GB2312" w:eastAsia="仿宋_GB2312" w:cs="仿宋_GB2312"/>
          <w:color w:val="auto"/>
          <w:kern w:val="2"/>
          <w:sz w:val="32"/>
          <w:szCs w:val="21"/>
          <w:u w:val="none"/>
          <w:lang w:val="en-US" w:eastAsia="zh-CN" w:bidi="ar-SA"/>
        </w:rPr>
      </w:pPr>
      <w:r>
        <w:rPr>
          <w:rFonts w:hint="eastAsia" w:ascii="楷体_GB2312" w:hAnsi="楷体_GB2312" w:eastAsia="楷体_GB2312" w:cs="楷体_GB2312"/>
          <w:b/>
          <w:bCs/>
          <w:color w:val="auto"/>
          <w:kern w:val="2"/>
          <w:sz w:val="32"/>
          <w:szCs w:val="32"/>
          <w:u w:val="none"/>
          <w:lang w:val="en-US" w:eastAsia="zh-CN" w:bidi="ar-SA"/>
        </w:rPr>
        <w:t>坚持党的全面领导与人民城市理念相统一。</w:t>
      </w:r>
      <w:r>
        <w:rPr>
          <w:rFonts w:hint="eastAsia" w:ascii="仿宋_GB2312" w:hAnsi="仿宋_GB2312" w:eastAsia="仿宋_GB2312" w:cs="仿宋_GB2312"/>
          <w:color w:val="auto"/>
          <w:kern w:val="2"/>
          <w:sz w:val="32"/>
          <w:szCs w:val="21"/>
          <w:u w:val="none"/>
          <w:lang w:val="en-US" w:eastAsia="zh-CN" w:bidi="ar-SA"/>
        </w:rPr>
        <w:t>必须牢牢把握党的领导是中国特色社会主义最本质的特征，是建设现代化人民城市的根本保证。全面贯彻党的二十大精神，确保高质量建设现代化美好扶沟始终沿着正确方向前进。深入落实中央城市工作会议部署，坚定践行以人民为中心的发展思想，紧扣人民城市根本属性，将“人民城市人民建、人民城市为人民”理念全面融入规划、发展、治理各环节。聚焦人民群众对美好生活的向往，将党的政治优势、组织优势转化为推动城镇发展、产业升级、基层治理的强大效能。​</w:t>
      </w:r>
    </w:p>
    <w:p w14:paraId="4FC8B2A1">
      <w:pPr>
        <w:pageBreakBefore w:val="0"/>
        <w:kinsoku/>
        <w:wordWrap/>
        <w:overflowPunct/>
        <w:topLinePunct w:val="0"/>
        <w:autoSpaceDE/>
        <w:bidi w:val="0"/>
        <w:adjustRightInd w:val="0"/>
        <w:snapToGrid w:val="0"/>
        <w:spacing w:line="560" w:lineRule="exact"/>
        <w:ind w:firstLine="643" w:firstLineChars="200"/>
        <w:textAlignment w:val="auto"/>
        <w:rPr>
          <w:rFonts w:hint="eastAsia" w:ascii="仿宋_GB2312" w:hAnsi="仿宋_GB2312" w:eastAsia="仿宋_GB2312" w:cs="仿宋_GB2312"/>
          <w:color w:val="auto"/>
          <w:kern w:val="2"/>
          <w:sz w:val="32"/>
          <w:szCs w:val="21"/>
          <w:u w:val="none"/>
          <w:lang w:val="en-US" w:eastAsia="zh-CN" w:bidi="ar-SA"/>
        </w:rPr>
      </w:pPr>
      <w:r>
        <w:rPr>
          <w:rFonts w:hint="eastAsia" w:ascii="楷体_GB2312" w:hAnsi="楷体_GB2312" w:eastAsia="楷体_GB2312" w:cs="楷体_GB2312"/>
          <w:b/>
          <w:bCs/>
          <w:color w:val="auto"/>
          <w:kern w:val="2"/>
          <w:sz w:val="32"/>
          <w:szCs w:val="32"/>
          <w:u w:val="none"/>
          <w:lang w:val="en-US" w:eastAsia="zh-CN" w:bidi="ar-SA"/>
        </w:rPr>
        <w:t>坚持新发展理念与深化改革相统一。</w:t>
      </w:r>
      <w:r>
        <w:rPr>
          <w:rFonts w:hint="eastAsia" w:ascii="仿宋_GB2312" w:hAnsi="仿宋_GB2312" w:eastAsia="仿宋_GB2312" w:cs="仿宋_GB2312"/>
          <w:color w:val="auto"/>
          <w:kern w:val="2"/>
          <w:sz w:val="32"/>
          <w:szCs w:val="21"/>
          <w:u w:val="none"/>
          <w:lang w:val="en-US" w:eastAsia="zh-CN" w:bidi="ar-SA"/>
        </w:rPr>
        <w:t>将创新、协调、绿色、开放、共享的新发展理念全方位融入发展各领域，以科技创新为核心塑造新动能，推动质量、效率、动力变革。同时，围绕提高资源配置效率、发展质量效益和调动各方积极性，推进全面深化改革向纵深发展，优化营商环境，注重制度、平台、产业、环境创新，积极融入和服务全国统一大市场，实现经济更高质量、更可持续、更为安全的发展。​</w:t>
      </w:r>
    </w:p>
    <w:p w14:paraId="5CC147A6">
      <w:pPr>
        <w:pageBreakBefore w:val="0"/>
        <w:kinsoku/>
        <w:wordWrap/>
        <w:overflowPunct/>
        <w:topLinePunct w:val="0"/>
        <w:autoSpaceDE/>
        <w:bidi w:val="0"/>
        <w:adjustRightInd w:val="0"/>
        <w:snapToGrid w:val="0"/>
        <w:spacing w:line="560" w:lineRule="exact"/>
        <w:ind w:firstLine="643" w:firstLineChars="200"/>
        <w:textAlignment w:val="auto"/>
        <w:rPr>
          <w:rFonts w:hint="eastAsia" w:ascii="仿宋_GB2312" w:hAnsi="仿宋_GB2312" w:eastAsia="仿宋_GB2312" w:cs="仿宋_GB2312"/>
          <w:color w:val="auto"/>
          <w:kern w:val="2"/>
          <w:sz w:val="32"/>
          <w:szCs w:val="21"/>
          <w:u w:val="none"/>
          <w:lang w:val="en-US" w:eastAsia="zh-CN" w:bidi="ar-SA"/>
        </w:rPr>
      </w:pPr>
      <w:r>
        <w:rPr>
          <w:rFonts w:hint="eastAsia" w:ascii="楷体_GB2312" w:hAnsi="楷体_GB2312" w:eastAsia="楷体_GB2312" w:cs="楷体_GB2312"/>
          <w:b/>
          <w:bCs/>
          <w:color w:val="auto"/>
          <w:kern w:val="2"/>
          <w:sz w:val="32"/>
          <w:szCs w:val="32"/>
          <w:u w:val="none"/>
          <w:lang w:val="en-US" w:eastAsia="zh-CN" w:bidi="ar-SA"/>
        </w:rPr>
        <w:t>坚持城乡发展与产业提升相统一。</w:t>
      </w:r>
      <w:r>
        <w:rPr>
          <w:rFonts w:hint="eastAsia" w:ascii="仿宋_GB2312" w:hAnsi="仿宋_GB2312" w:eastAsia="仿宋_GB2312" w:cs="仿宋_GB2312"/>
          <w:color w:val="auto"/>
          <w:kern w:val="2"/>
          <w:sz w:val="32"/>
          <w:szCs w:val="21"/>
          <w:u w:val="none"/>
          <w:lang w:val="en-US" w:eastAsia="zh-CN" w:bidi="ar-SA"/>
        </w:rPr>
        <w:t>树立产业发展引领城区发展的理念，立足扶沟实际，发挥比较优势，主动融入省市发展大局，统筹好城乡发展“外延”与“内涵”关系，加快发展方式转变，优化区域空间结构，强化重点片区联动和核心板块协调作用，注重形态、业态、功能提升。统筹好高质量发展“城乡”与“产业”关系，优化产业体系和公共服务体系，大力发展新兴产业，引领带动产业跳跃式发展。​</w:t>
      </w:r>
    </w:p>
    <w:p w14:paraId="41A78C98">
      <w:pPr>
        <w:pageBreakBefore w:val="0"/>
        <w:kinsoku/>
        <w:wordWrap/>
        <w:overflowPunct/>
        <w:topLinePunct w:val="0"/>
        <w:autoSpaceDE/>
        <w:bidi w:val="0"/>
        <w:adjustRightInd w:val="0"/>
        <w:snapToGrid w:val="0"/>
        <w:spacing w:line="560" w:lineRule="exact"/>
        <w:ind w:firstLine="643" w:firstLineChars="200"/>
        <w:textAlignment w:val="auto"/>
        <w:rPr>
          <w:rFonts w:hint="eastAsia" w:ascii="仿宋_GB2312" w:hAnsi="仿宋_GB2312" w:eastAsia="仿宋_GB2312" w:cs="仿宋_GB2312"/>
          <w:color w:val="auto"/>
          <w:kern w:val="2"/>
          <w:sz w:val="32"/>
          <w:szCs w:val="21"/>
          <w:u w:val="none"/>
          <w:lang w:val="en-US" w:eastAsia="zh-CN" w:bidi="ar-SA"/>
        </w:rPr>
      </w:pPr>
      <w:r>
        <w:rPr>
          <w:rFonts w:hint="default" w:ascii="Times New Roman" w:hAnsi="Times New Roman" w:eastAsia="楷体_GB2312" w:cs="Times New Roman"/>
          <w:b/>
          <w:bCs/>
          <w:color w:val="auto"/>
          <w:kern w:val="2"/>
          <w:sz w:val="32"/>
          <w:szCs w:val="32"/>
          <w:highlight w:val="none"/>
          <w:shd w:val="clear" w:color="auto" w:fill="auto"/>
        </w:rPr>
        <w:t>坚持高质量发展与高效能治理相统一。</w:t>
      </w:r>
      <w:r>
        <w:rPr>
          <w:rFonts w:hint="default" w:ascii="Times New Roman" w:hAnsi="Times New Roman" w:eastAsia="仿宋_GB2312" w:cs="Times New Roman"/>
          <w:color w:val="auto"/>
          <w:kern w:val="2"/>
          <w:sz w:val="32"/>
          <w:szCs w:val="32"/>
          <w:highlight w:val="none"/>
          <w:shd w:val="clear" w:color="auto" w:fill="auto"/>
        </w:rPr>
        <w:t>要牢牢把握高质量发展这一全面建设社会主义现代化国家的首要任务，全面贯彻新发展理念，贯穿于经济社会发展的各方面全过程。根据中央城市工作会议精神，结合</w:t>
      </w:r>
      <w:r>
        <w:rPr>
          <w:rFonts w:hint="eastAsia" w:ascii="Times New Roman" w:hAnsi="Times New Roman" w:eastAsia="仿宋_GB2312" w:cs="Times New Roman"/>
          <w:color w:val="auto"/>
          <w:kern w:val="2"/>
          <w:sz w:val="32"/>
          <w:szCs w:val="32"/>
          <w:highlight w:val="none"/>
          <w:shd w:val="clear" w:color="auto" w:fill="auto"/>
          <w:lang w:val="en-US" w:eastAsia="zh-CN"/>
        </w:rPr>
        <w:t>扶沟县城区面貌</w:t>
      </w:r>
      <w:r>
        <w:rPr>
          <w:rFonts w:hint="default" w:ascii="Times New Roman" w:hAnsi="Times New Roman" w:eastAsia="仿宋_GB2312" w:cs="Times New Roman"/>
          <w:color w:val="auto"/>
          <w:kern w:val="2"/>
          <w:sz w:val="32"/>
          <w:szCs w:val="32"/>
          <w:highlight w:val="none"/>
          <w:shd w:val="clear" w:color="auto" w:fill="auto"/>
        </w:rPr>
        <w:t>老旧、人口密度大、服务需求广等特点，持续加大城市治理领域投入，构建兼具智慧化、精细化与人性化特质的现代治理新模式。创新城市治理理念、模式和手段，通过党建引领、创新网格品牌、强化数据支撑等高效能治理手段引领高质量发展，推动共建共治共享，切实增强人民群众的获得感、幸福感和安全感</w:t>
      </w:r>
      <w:r>
        <w:rPr>
          <w:rFonts w:hint="eastAsia" w:ascii="仿宋_GB2312" w:hAnsi="仿宋_GB2312" w:eastAsia="仿宋_GB2312" w:cs="仿宋_GB2312"/>
          <w:color w:val="auto"/>
          <w:kern w:val="2"/>
          <w:sz w:val="32"/>
          <w:szCs w:val="21"/>
          <w:u w:val="none"/>
          <w:lang w:val="en-US" w:eastAsia="zh-CN" w:bidi="ar-SA"/>
        </w:rPr>
        <w:t>。</w:t>
      </w:r>
    </w:p>
    <w:p w14:paraId="5C094FE2">
      <w:pPr>
        <w:keepNext/>
        <w:keepLines/>
        <w:pageBreakBefore w:val="0"/>
        <w:widowControl w:val="0"/>
        <w:numPr>
          <w:ilvl w:val="0"/>
          <w:numId w:val="0"/>
        </w:numPr>
        <w:kinsoku/>
        <w:wordWrap/>
        <w:overflowPunct/>
        <w:topLinePunct w:val="0"/>
        <w:autoSpaceDE/>
        <w:autoSpaceDN/>
        <w:bidi w:val="0"/>
        <w:adjustRightInd w:val="0"/>
        <w:snapToGrid w:val="0"/>
        <w:spacing w:before="156" w:beforeLines="50" w:after="156" w:afterLines="50" w:line="560" w:lineRule="exact"/>
        <w:ind w:leftChars="0"/>
        <w:jc w:val="center"/>
        <w:textAlignment w:val="auto"/>
        <w:outlineLvl w:val="2"/>
        <w:rPr>
          <w:rFonts w:hint="eastAsia" w:ascii="Times New Roman" w:hAnsi="Times New Roman" w:eastAsia="黑体" w:cs="Times New Roman"/>
          <w:b/>
          <w:bCs/>
          <w:color w:val="auto"/>
          <w:kern w:val="2"/>
          <w:sz w:val="32"/>
          <w:szCs w:val="32"/>
          <w:highlight w:val="none"/>
          <w:u w:val="none"/>
          <w:lang w:val="en-US" w:eastAsia="zh-CN" w:bidi="ar-SA"/>
        </w:rPr>
      </w:pPr>
      <w:bookmarkStart w:id="27" w:name="_Toc25319"/>
      <w:bookmarkStart w:id="28" w:name="_Toc4841"/>
      <w:bookmarkStart w:id="29" w:name="_Toc32099"/>
      <w:r>
        <w:rPr>
          <w:rFonts w:hint="eastAsia" w:ascii="Times New Roman" w:hAnsi="Times New Roman" w:eastAsia="黑体" w:cs="Times New Roman"/>
          <w:b/>
          <w:bCs/>
          <w:color w:val="auto"/>
          <w:kern w:val="2"/>
          <w:sz w:val="32"/>
          <w:szCs w:val="32"/>
          <w:highlight w:val="none"/>
          <w:u w:val="none"/>
          <w:lang w:val="en-US" w:eastAsia="zh-CN" w:bidi="ar-SA"/>
        </w:rPr>
        <w:t>第三节发展定位</w:t>
      </w:r>
      <w:bookmarkEnd w:id="27"/>
      <w:bookmarkEnd w:id="28"/>
      <w:bookmarkEnd w:id="29"/>
    </w:p>
    <w:p w14:paraId="2A19569A">
      <w:pPr>
        <w:pageBreakBefore w:val="0"/>
        <w:kinsoku/>
        <w:wordWrap/>
        <w:overflowPunct/>
        <w:topLinePunct w:val="0"/>
        <w:autoSpaceDE/>
        <w:bidi w:val="0"/>
        <w:adjustRightInd w:val="0"/>
        <w:snapToGrid w:val="0"/>
        <w:spacing w:line="560" w:lineRule="exact"/>
        <w:ind w:firstLine="640" w:firstLineChars="200"/>
        <w:textAlignment w:val="auto"/>
        <w:rPr>
          <w:rFonts w:hint="eastAsia" w:ascii="仿宋_GB2312" w:hAnsi="仿宋_GB2312" w:eastAsia="仿宋_GB2312" w:cs="仿宋_GB2312"/>
          <w:color w:val="auto"/>
          <w:kern w:val="2"/>
          <w:sz w:val="32"/>
          <w:szCs w:val="21"/>
          <w:u w:val="none"/>
          <w:lang w:val="en-US" w:eastAsia="zh-CN" w:bidi="ar-SA"/>
        </w:rPr>
      </w:pPr>
      <w:r>
        <w:rPr>
          <w:rFonts w:hint="eastAsia" w:ascii="仿宋_GB2312" w:hAnsi="仿宋_GB2312" w:eastAsia="仿宋_GB2312" w:cs="仿宋_GB2312"/>
          <w:color w:val="auto"/>
          <w:kern w:val="2"/>
          <w:sz w:val="32"/>
          <w:szCs w:val="21"/>
          <w:u w:val="none"/>
          <w:lang w:val="en-US" w:eastAsia="zh-CN" w:bidi="ar-SA"/>
        </w:rPr>
        <w:t>“十五五”是扶沟县全面提升战略优势、增强城市影响力和竞争力的关键阶段，坚持以服务和支撑国家、省重大战略为导向，立足科创、生态、文旅、商贸、交通物流、新质生产力、战略性新兴产业发展等方向，衔接“十四五”时期发展定位，结合目前扶沟县的阶段性发展特征，提出“十五五”时期扶沟县发展定位为“一都一极三基地”。</w:t>
      </w:r>
    </w:p>
    <w:p w14:paraId="53625C4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3"/>
        <w:rPr>
          <w:rFonts w:hint="default" w:ascii="楷体_GB2312" w:hAnsi="楷体_GB2312" w:eastAsia="楷体_GB2312" w:cs="楷体_GB2312"/>
          <w:b/>
          <w:bCs/>
          <w:color w:val="auto"/>
          <w:kern w:val="2"/>
          <w:sz w:val="32"/>
          <w:szCs w:val="32"/>
          <w:u w:val="none"/>
          <w:lang w:val="en-US" w:eastAsia="zh-CN" w:bidi="ar-SA"/>
        </w:rPr>
      </w:pPr>
      <w:r>
        <w:rPr>
          <w:rFonts w:hint="eastAsia" w:ascii="楷体_GB2312" w:hAnsi="楷体_GB2312" w:eastAsia="楷体_GB2312" w:cs="楷体_GB2312"/>
          <w:b w:val="0"/>
          <w:bCs w:val="0"/>
          <w:color w:val="auto"/>
          <w:kern w:val="2"/>
          <w:sz w:val="32"/>
          <w:szCs w:val="32"/>
          <w:highlight w:val="none"/>
        </w:rPr>
        <w:t>——</w:t>
      </w:r>
      <w:r>
        <w:rPr>
          <w:rFonts w:hint="default" w:ascii="楷体_GB2312" w:hAnsi="楷体_GB2312" w:eastAsia="楷体_GB2312" w:cs="楷体_GB2312"/>
          <w:b/>
          <w:bCs/>
          <w:color w:val="auto"/>
          <w:kern w:val="2"/>
          <w:sz w:val="32"/>
          <w:szCs w:val="32"/>
          <w:u w:val="none"/>
          <w:lang w:val="en-US" w:eastAsia="zh-CN" w:bidi="ar-SA"/>
        </w:rPr>
        <w:t>全国有影响力的全生态蔬菜之都</w:t>
      </w:r>
    </w:p>
    <w:p w14:paraId="678DCDCD">
      <w:pPr>
        <w:pageBreakBefore w:val="0"/>
        <w:kinsoku/>
        <w:wordWrap/>
        <w:overflowPunct/>
        <w:topLinePunct w:val="0"/>
        <w:autoSpaceDE/>
        <w:bidi w:val="0"/>
        <w:adjustRightInd w:val="0"/>
        <w:snapToGrid w:val="0"/>
        <w:spacing w:line="560" w:lineRule="exact"/>
        <w:ind w:firstLine="640" w:firstLineChars="200"/>
        <w:textAlignment w:val="auto"/>
        <w:rPr>
          <w:rFonts w:hint="eastAsia" w:ascii="仿宋_GB2312" w:hAnsi="仿宋_GB2312" w:eastAsia="仿宋_GB2312" w:cs="仿宋_GB2312"/>
          <w:color w:val="auto"/>
          <w:kern w:val="2"/>
          <w:sz w:val="32"/>
          <w:szCs w:val="21"/>
          <w:u w:val="none"/>
          <w:lang w:val="en-US" w:eastAsia="zh-CN" w:bidi="ar-SA"/>
        </w:rPr>
      </w:pPr>
      <w:r>
        <w:rPr>
          <w:rFonts w:hint="default" w:ascii="仿宋_GB2312" w:hAnsi="仿宋_GB2312" w:eastAsia="仿宋_GB2312" w:cs="仿宋_GB2312"/>
          <w:color w:val="auto"/>
          <w:kern w:val="2"/>
          <w:sz w:val="32"/>
          <w:szCs w:val="21"/>
          <w:u w:val="none"/>
          <w:lang w:val="en-US" w:eastAsia="zh-CN" w:bidi="ar-SA"/>
        </w:rPr>
        <w:t>“十五五”时期，扶沟县将持续巩固蔬菜产业优势，进一步优化产业布局、适度扩大种植规模、加大老旧设施升级改造力度，将蔬菜种植面积稳定在6</w:t>
      </w:r>
      <w:r>
        <w:rPr>
          <w:rFonts w:hint="eastAsia" w:ascii="仿宋_GB2312" w:hAnsi="仿宋_GB2312" w:eastAsia="仿宋_GB2312" w:cs="仿宋_GB2312"/>
          <w:color w:val="auto"/>
          <w:kern w:val="2"/>
          <w:sz w:val="32"/>
          <w:szCs w:val="21"/>
          <w:u w:val="none"/>
          <w:lang w:val="en-US" w:eastAsia="zh-CN" w:bidi="ar-SA"/>
        </w:rPr>
        <w:t>0</w:t>
      </w:r>
      <w:r>
        <w:rPr>
          <w:rFonts w:hint="default" w:ascii="仿宋_GB2312" w:hAnsi="仿宋_GB2312" w:eastAsia="仿宋_GB2312" w:cs="仿宋_GB2312"/>
          <w:color w:val="auto"/>
          <w:kern w:val="2"/>
          <w:sz w:val="32"/>
          <w:szCs w:val="21"/>
          <w:u w:val="none"/>
          <w:lang w:val="en-US" w:eastAsia="zh-CN" w:bidi="ar-SA"/>
        </w:rPr>
        <w:t>万亩以上，设施蔬菜种植面积25万亩，年均产量280万吨。以国家级现代农业产业园创建为抓手，着力实施设施种植标准园建设、种苗研发创新、轻简化智能化栽培推广、冷链物流配套建设、营销加工提升、品牌创建、三产融合，构建布局科学、智慧高效、绿色安全的现代设施农业发展格局，着力打造全省领先、全国具有影响力的全生态蔬菜之都。力争到2030年底，新建成18个市级产业园、30个县级产业园，新建10个100亩以上设施蔬菜标准园区；年培育创新品种10个，推广5项新技术；对老旧蔬菜园区进行改造提升，改造提升日光温室3000亩、塑料大棚10000亩；年育苗量达到10亿株；食用菌种植面积达4000亩，平菇种植100万袋；建设新认证地理标志农产品8个、全国名特优新农产品10个；设施蔬菜产量占蔬菜总产量的比重达到40%，设施种植机械化率达到60%，蔬菜加工转化率达到30%以上</w:t>
      </w:r>
      <w:r>
        <w:rPr>
          <w:rFonts w:hint="eastAsia" w:ascii="仿宋_GB2312" w:hAnsi="仿宋_GB2312" w:eastAsia="仿宋_GB2312" w:cs="仿宋_GB2312"/>
          <w:color w:val="auto"/>
          <w:kern w:val="2"/>
          <w:sz w:val="32"/>
          <w:szCs w:val="21"/>
          <w:u w:val="none"/>
          <w:lang w:val="en-US" w:eastAsia="zh-CN" w:bidi="ar-SA"/>
        </w:rPr>
        <w:t>。</w:t>
      </w:r>
    </w:p>
    <w:p w14:paraId="48F7E3E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3"/>
        <w:rPr>
          <w:rFonts w:hint="eastAsia" w:ascii="楷体_GB2312" w:hAnsi="楷体_GB2312" w:eastAsia="楷体_GB2312" w:cs="楷体_GB2312"/>
          <w:b/>
          <w:bCs/>
          <w:color w:val="auto"/>
          <w:kern w:val="2"/>
          <w:sz w:val="32"/>
          <w:szCs w:val="32"/>
          <w:u w:val="none"/>
          <w:lang w:val="en-US" w:eastAsia="zh-CN" w:bidi="ar-SA"/>
        </w:rPr>
      </w:pPr>
      <w:r>
        <w:rPr>
          <w:rFonts w:hint="eastAsia" w:ascii="楷体_GB2312" w:hAnsi="楷体_GB2312" w:eastAsia="楷体_GB2312" w:cs="楷体_GB2312"/>
          <w:b w:val="0"/>
          <w:bCs w:val="0"/>
          <w:color w:val="auto"/>
          <w:kern w:val="2"/>
          <w:sz w:val="32"/>
          <w:szCs w:val="32"/>
          <w:highlight w:val="none"/>
        </w:rPr>
        <w:t>——</w:t>
      </w:r>
      <w:r>
        <w:rPr>
          <w:rFonts w:hint="default" w:ascii="楷体_GB2312" w:hAnsi="楷体_GB2312" w:eastAsia="楷体_GB2312" w:cs="楷体_GB2312"/>
          <w:b/>
          <w:bCs/>
          <w:color w:val="auto"/>
          <w:kern w:val="2"/>
          <w:sz w:val="32"/>
          <w:szCs w:val="32"/>
          <w:u w:val="none"/>
          <w:lang w:val="en-US" w:eastAsia="zh-CN" w:bidi="ar-SA"/>
        </w:rPr>
        <w:t>豫东产业转移示范增长极</w:t>
      </w:r>
    </w:p>
    <w:p w14:paraId="785EE9A4">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textAlignment w:val="auto"/>
        <w:outlineLvl w:val="9"/>
        <w:rPr>
          <w:rFonts w:hint="eastAsia" w:ascii="仿宋_GB2312" w:hAnsi="仿宋_GB2312" w:eastAsia="仿宋_GB2312" w:cs="仿宋_GB2312"/>
          <w:color w:val="auto"/>
          <w:kern w:val="2"/>
          <w:sz w:val="32"/>
          <w:szCs w:val="21"/>
          <w:u w:val="none"/>
          <w:lang w:val="en-US" w:eastAsia="zh-CN" w:bidi="ar-SA"/>
        </w:rPr>
      </w:pPr>
      <w:r>
        <w:rPr>
          <w:rFonts w:hint="eastAsia" w:ascii="仿宋_GB2312" w:hAnsi="仿宋_GB2312" w:eastAsia="仿宋_GB2312" w:cs="仿宋_GB2312"/>
          <w:color w:val="auto"/>
          <w:kern w:val="2"/>
          <w:sz w:val="32"/>
          <w:szCs w:val="21"/>
          <w:u w:val="none"/>
          <w:lang w:val="en-US" w:eastAsia="zh-CN" w:bidi="ar-SA"/>
        </w:rPr>
        <w:t>“十五五”时期，扶沟县紧扣全国统一大市场建设要求，立足区位交通、要素资源与产业基础优势，规范有序承接产业转移。聚焦装备制造、纺织服装、节能环保等产业，精准绘制产业链招商图谱，定向对接长三角、珠三角等重点区域，每年引进10个以上亿元级高质量产业转移项目。以市场化方式设立产业转移承接引导基金，强化产业园区基础设施配套，提升园区综合承载与公共服务能力。持续深化“放管服”改革，严格落实公平竞争审查制度，优化行政审批，实现企业开办1个工作日内办结、项目审批时限压缩30%以上，依法保障各类市场主体公平参与竞争。着力打造豫东地区承接产业转移示范标杆，以高水平承接赋能县域经济高质量发展。</w:t>
      </w:r>
    </w:p>
    <w:p w14:paraId="5CB8A71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3"/>
        <w:rPr>
          <w:rFonts w:hint="eastAsia" w:ascii="楷体_GB2312" w:hAnsi="楷体_GB2312" w:eastAsia="楷体_GB2312" w:cs="楷体_GB2312"/>
          <w:b/>
          <w:bCs/>
          <w:color w:val="auto"/>
          <w:kern w:val="2"/>
          <w:sz w:val="32"/>
          <w:szCs w:val="32"/>
          <w:u w:val="none"/>
          <w:lang w:val="en-US" w:eastAsia="zh-CN" w:bidi="ar-SA"/>
        </w:rPr>
      </w:pPr>
      <w:r>
        <w:rPr>
          <w:rFonts w:hint="eastAsia" w:ascii="楷体_GB2312" w:hAnsi="楷体_GB2312" w:eastAsia="楷体_GB2312" w:cs="楷体_GB2312"/>
          <w:b w:val="0"/>
          <w:bCs w:val="0"/>
          <w:color w:val="auto"/>
          <w:kern w:val="2"/>
          <w:sz w:val="32"/>
          <w:szCs w:val="32"/>
          <w:highlight w:val="none"/>
        </w:rPr>
        <w:t>——</w:t>
      </w:r>
      <w:r>
        <w:rPr>
          <w:rFonts w:hint="default" w:ascii="楷体_GB2312" w:hAnsi="楷体_GB2312" w:eastAsia="楷体_GB2312" w:cs="楷体_GB2312"/>
          <w:b/>
          <w:bCs/>
          <w:color w:val="auto"/>
          <w:kern w:val="2"/>
          <w:sz w:val="32"/>
          <w:szCs w:val="32"/>
          <w:u w:val="none"/>
          <w:lang w:val="en-US" w:eastAsia="zh-CN" w:bidi="ar-SA"/>
        </w:rPr>
        <w:t>高端装备智造产业基地</w:t>
      </w:r>
    </w:p>
    <w:p w14:paraId="03E486F8">
      <w:pPr>
        <w:pageBreakBefore w:val="0"/>
        <w:kinsoku/>
        <w:wordWrap/>
        <w:overflowPunct/>
        <w:topLinePunct w:val="0"/>
        <w:autoSpaceDE/>
        <w:bidi w:val="0"/>
        <w:adjustRightInd w:val="0"/>
        <w:snapToGrid w:val="0"/>
        <w:spacing w:line="560" w:lineRule="exact"/>
        <w:ind w:firstLine="640" w:firstLineChars="200"/>
        <w:textAlignment w:val="auto"/>
        <w:rPr>
          <w:rFonts w:hint="eastAsia" w:ascii="仿宋_GB2312" w:hAnsi="仿宋_GB2312" w:eastAsia="仿宋_GB2312" w:cs="仿宋_GB2312"/>
          <w:color w:val="auto"/>
          <w:kern w:val="2"/>
          <w:sz w:val="32"/>
          <w:szCs w:val="21"/>
          <w:u w:val="none"/>
          <w:lang w:val="en-US" w:eastAsia="zh-CN" w:bidi="ar-SA"/>
        </w:rPr>
      </w:pPr>
      <w:r>
        <w:rPr>
          <w:rFonts w:hint="eastAsia" w:ascii="仿宋_GB2312" w:hAnsi="仿宋_GB2312" w:eastAsia="仿宋_GB2312" w:cs="仿宋_GB2312"/>
          <w:color w:val="auto"/>
          <w:kern w:val="2"/>
          <w:sz w:val="32"/>
          <w:szCs w:val="21"/>
          <w:u w:val="none"/>
          <w:lang w:val="en-US" w:eastAsia="zh-CN" w:bidi="ar-SA"/>
        </w:rPr>
        <w:t>“十五五”时期，扶沟县紧扣全国统一大市场建设要求，聚焦高端装备智造领域，推动产业高质量集聚发展。立足产业基础，以市场化、法治化方式引导资源配置，强化科技创新引领，支持企业联合高校、科研院所共建研发平台，力争建成3个省级以上高端装备制造研发中心，每年实施15项以上关键技术攻关，着力突破核心技术瓶颈。高标准规划建设高端装备智造产业园区，完善基础设施与公共配套服务，聚焦汽车零部件、智能装备等领域开展产业链精准招商，推动产业集聚集群发展。健全质量品牌培育体系，引导企业推行先进质量管理模式，积极打造5个以上国内知名高端装备品牌，提升产品附加值与市场竞争力。</w:t>
      </w:r>
    </w:p>
    <w:p w14:paraId="1E10147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3"/>
        <w:rPr>
          <w:rFonts w:hint="default" w:ascii="楷体_GB2312" w:hAnsi="楷体_GB2312" w:eastAsia="楷体_GB2312" w:cs="楷体_GB2312"/>
          <w:b/>
          <w:bCs/>
          <w:color w:val="auto"/>
          <w:kern w:val="2"/>
          <w:sz w:val="32"/>
          <w:szCs w:val="32"/>
          <w:u w:val="none"/>
          <w:lang w:val="en-US" w:eastAsia="zh-CN" w:bidi="ar-SA"/>
        </w:rPr>
      </w:pPr>
      <w:r>
        <w:rPr>
          <w:rFonts w:hint="eastAsia" w:ascii="楷体_GB2312" w:hAnsi="楷体_GB2312" w:eastAsia="楷体_GB2312" w:cs="楷体_GB2312"/>
          <w:b w:val="0"/>
          <w:bCs w:val="0"/>
          <w:color w:val="auto"/>
          <w:kern w:val="2"/>
          <w:sz w:val="32"/>
          <w:szCs w:val="32"/>
          <w:highlight w:val="none"/>
        </w:rPr>
        <w:t>——</w:t>
      </w:r>
      <w:r>
        <w:rPr>
          <w:rFonts w:hint="default" w:ascii="楷体_GB2312" w:hAnsi="楷体_GB2312" w:eastAsia="楷体_GB2312" w:cs="楷体_GB2312"/>
          <w:b/>
          <w:bCs/>
          <w:color w:val="auto"/>
          <w:kern w:val="2"/>
          <w:sz w:val="32"/>
          <w:szCs w:val="32"/>
          <w:u w:val="none"/>
          <w:lang w:val="en-US" w:eastAsia="zh-CN" w:bidi="ar-SA"/>
        </w:rPr>
        <w:t>时尚服装</w:t>
      </w:r>
      <w:r>
        <w:rPr>
          <w:rFonts w:hint="eastAsia" w:ascii="楷体_GB2312" w:hAnsi="楷体_GB2312" w:eastAsia="楷体_GB2312" w:cs="楷体_GB2312"/>
          <w:b/>
          <w:bCs/>
          <w:color w:val="auto"/>
          <w:kern w:val="2"/>
          <w:sz w:val="32"/>
          <w:szCs w:val="32"/>
          <w:u w:val="none"/>
          <w:lang w:val="en-US" w:eastAsia="zh-CN" w:bidi="ar-SA"/>
        </w:rPr>
        <w:t>产业基地</w:t>
      </w:r>
    </w:p>
    <w:p w14:paraId="49EB1F26">
      <w:pPr>
        <w:pageBreakBefore w:val="0"/>
        <w:kinsoku/>
        <w:wordWrap/>
        <w:overflowPunct/>
        <w:topLinePunct w:val="0"/>
        <w:autoSpaceDE/>
        <w:bidi w:val="0"/>
        <w:adjustRightInd w:val="0"/>
        <w:snapToGrid w:val="0"/>
        <w:spacing w:line="560" w:lineRule="exact"/>
        <w:ind w:firstLine="640" w:firstLineChars="200"/>
        <w:textAlignment w:val="auto"/>
        <w:rPr>
          <w:rFonts w:hint="eastAsia" w:ascii="仿宋_GB2312" w:hAnsi="仿宋_GB2312" w:eastAsia="仿宋_GB2312" w:cs="仿宋_GB2312"/>
          <w:color w:val="auto"/>
          <w:kern w:val="2"/>
          <w:sz w:val="32"/>
          <w:szCs w:val="21"/>
          <w:u w:val="none"/>
          <w:lang w:val="en-US" w:eastAsia="zh-CN" w:bidi="ar-SA"/>
        </w:rPr>
      </w:pPr>
      <w:r>
        <w:rPr>
          <w:rFonts w:hint="eastAsia" w:ascii="仿宋_GB2312" w:hAnsi="仿宋_GB2312" w:eastAsia="仿宋_GB2312" w:cs="仿宋_GB2312"/>
          <w:color w:val="auto"/>
          <w:kern w:val="2"/>
          <w:sz w:val="32"/>
          <w:szCs w:val="21"/>
          <w:u w:val="none"/>
          <w:lang w:val="en-US" w:eastAsia="zh-CN" w:bidi="ar-SA"/>
        </w:rPr>
        <w:t>“十五五”时期，扶沟县将着力提升纺织服装产业的时尚化、品牌化水平。设立时尚服装创意设计中心，引进国内外知名设计团队和设计师，举办时尚服装设计大赛，激发创意活力，推动产品设计创新，打造具有地域特色的时尚服装品牌。加强服装产业供应链整合，完善上下游配套产业，建设面料研发生产基地、服装辅料市场等，降低企业生产成本，提高产业协同效率。加大对服装企业品牌培育的支持力度，设立品牌培育专项资金，支持企业开展品牌创建活动，通过广告宣传、电商平台推广等方式，提升扶沟时尚服装品牌在国内外市场的知名度和影响力。</w:t>
      </w:r>
    </w:p>
    <w:p w14:paraId="5BDE0D1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3"/>
        <w:rPr>
          <w:rFonts w:hint="eastAsia" w:ascii="楷体_GB2312" w:hAnsi="楷体_GB2312" w:eastAsia="楷体_GB2312" w:cs="楷体_GB2312"/>
          <w:b/>
          <w:bCs/>
          <w:color w:val="auto"/>
          <w:kern w:val="2"/>
          <w:sz w:val="32"/>
          <w:szCs w:val="32"/>
          <w:u w:val="none"/>
          <w:lang w:val="en-US" w:eastAsia="zh-CN" w:bidi="ar-SA"/>
        </w:rPr>
      </w:pPr>
      <w:r>
        <w:rPr>
          <w:rFonts w:hint="eastAsia" w:ascii="楷体_GB2312" w:hAnsi="楷体_GB2312" w:eastAsia="楷体_GB2312" w:cs="楷体_GB2312"/>
          <w:b w:val="0"/>
          <w:bCs w:val="0"/>
          <w:color w:val="auto"/>
          <w:kern w:val="2"/>
          <w:sz w:val="32"/>
          <w:szCs w:val="32"/>
          <w:highlight w:val="none"/>
        </w:rPr>
        <w:t>——</w:t>
      </w:r>
      <w:r>
        <w:rPr>
          <w:rFonts w:hint="default" w:ascii="楷体_GB2312" w:hAnsi="楷体_GB2312" w:eastAsia="楷体_GB2312" w:cs="楷体_GB2312"/>
          <w:b/>
          <w:bCs/>
          <w:color w:val="auto"/>
          <w:kern w:val="2"/>
          <w:sz w:val="32"/>
          <w:szCs w:val="32"/>
          <w:u w:val="none"/>
          <w:lang w:val="en-US" w:eastAsia="zh-CN" w:bidi="ar-SA"/>
        </w:rPr>
        <w:t>商贸物流枢纽基地</w:t>
      </w:r>
    </w:p>
    <w:p w14:paraId="11EB0F9A">
      <w:pPr>
        <w:pageBreakBefore w:val="0"/>
        <w:kinsoku/>
        <w:wordWrap/>
        <w:overflowPunct/>
        <w:topLinePunct w:val="0"/>
        <w:autoSpaceDE/>
        <w:bidi w:val="0"/>
        <w:adjustRightInd w:val="0"/>
        <w:snapToGrid w:val="0"/>
        <w:spacing w:line="560" w:lineRule="exact"/>
        <w:ind w:firstLine="640" w:firstLineChars="200"/>
        <w:textAlignment w:val="auto"/>
        <w:rPr>
          <w:rFonts w:hint="eastAsia" w:ascii="仿宋_GB2312" w:hAnsi="仿宋_GB2312" w:eastAsia="仿宋_GB2312" w:cs="仿宋_GB2312"/>
          <w:color w:val="auto"/>
          <w:kern w:val="2"/>
          <w:sz w:val="32"/>
          <w:szCs w:val="21"/>
          <w:u w:val="none"/>
          <w:lang w:val="en-US" w:eastAsia="zh-CN" w:bidi="ar-SA"/>
        </w:rPr>
      </w:pPr>
      <w:r>
        <w:rPr>
          <w:rFonts w:hint="eastAsia" w:ascii="仿宋_GB2312" w:hAnsi="仿宋_GB2312" w:eastAsia="仿宋_GB2312" w:cs="仿宋_GB2312"/>
          <w:color w:val="auto"/>
          <w:kern w:val="2"/>
          <w:sz w:val="32"/>
          <w:szCs w:val="21"/>
          <w:u w:val="none"/>
          <w:lang w:val="en-US" w:eastAsia="zh-CN" w:bidi="ar-SA"/>
        </w:rPr>
        <w:t>“十五五”时期，围绕将扶沟县建设成为“区域综合交通枢纽”的核心目标，致力于打造“豫东多式联运中心”和“智慧物流示范县”，高标准规划建设商贸物流枢纽基地。</w:t>
      </w:r>
      <w:r>
        <w:rPr>
          <w:rFonts w:hint="eastAsia" w:ascii="仿宋_GB2312" w:hAnsi="仿宋_GB2312" w:eastAsia="仿宋_GB2312" w:cs="仿宋_GB2312"/>
          <w:b/>
          <w:bCs/>
          <w:color w:val="auto"/>
          <w:kern w:val="2"/>
          <w:sz w:val="32"/>
          <w:szCs w:val="21"/>
          <w:u w:val="none"/>
          <w:lang w:val="en-US" w:eastAsia="zh-CN" w:bidi="ar-SA"/>
        </w:rPr>
        <w:t>强化枢纽节点功能。</w:t>
      </w:r>
      <w:r>
        <w:rPr>
          <w:rFonts w:hint="eastAsia" w:ascii="仿宋_GB2312" w:hAnsi="仿宋_GB2312" w:eastAsia="仿宋_GB2312" w:cs="仿宋_GB2312"/>
          <w:color w:val="auto"/>
          <w:kern w:val="2"/>
          <w:sz w:val="32"/>
          <w:szCs w:val="21"/>
          <w:u w:val="none"/>
          <w:lang w:val="en-US" w:eastAsia="zh-CN" w:bidi="ar-SA"/>
        </w:rPr>
        <w:t>重点打造以郑合高铁扶沟南站为核心的“高铁枢纽经济片”，加快建设电商快递分拨中心，开通至开发区的货运专线，积极发展高铁快运业务，提升区域物流集疏运能力。在曹里、韭园等蔬菜主产镇布局“现代农业服务片”，建设包含预冷、分拣、包装一体化设施的产地集散网络。发挥港航优势，借助贾鲁河通航，高标准建设码头及水上服务区，支撑扶沟县高质量发展。</w:t>
      </w:r>
      <w:r>
        <w:rPr>
          <w:rFonts w:hint="eastAsia" w:ascii="仿宋_GB2312" w:hAnsi="仿宋_GB2312" w:eastAsia="仿宋_GB2312" w:cs="仿宋_GB2312"/>
          <w:b/>
          <w:bCs/>
          <w:color w:val="auto"/>
          <w:kern w:val="2"/>
          <w:sz w:val="32"/>
          <w:szCs w:val="21"/>
          <w:u w:val="none"/>
          <w:lang w:val="en-US" w:eastAsia="zh-CN" w:bidi="ar-SA"/>
        </w:rPr>
        <w:t>构建智慧物流体系。</w:t>
      </w:r>
      <w:r>
        <w:rPr>
          <w:rFonts w:hint="eastAsia" w:ascii="仿宋_GB2312" w:hAnsi="仿宋_GB2312" w:eastAsia="仿宋_GB2312" w:cs="仿宋_GB2312"/>
          <w:color w:val="auto"/>
          <w:kern w:val="2"/>
          <w:sz w:val="32"/>
          <w:szCs w:val="21"/>
          <w:u w:val="none"/>
          <w:lang w:val="en-US" w:eastAsia="zh-CN" w:bidi="ar-SA"/>
        </w:rPr>
        <w:t>全力推进“扶沟交通大脑”建设，集成路网监测、物流信息、公交调度等核心功能，实现信号灯智能调控全覆盖，有效降低城市交通拥堵指数。推广无人配送车在蔬菜产业园至城区的应用，试点北斗+6G货车编队行驶技术以降低能耗。扩建全自动分拣中心，实现乡镇智能快递柜全覆盖，提升物流作业自动化水平。</w:t>
      </w:r>
      <w:r>
        <w:rPr>
          <w:rFonts w:hint="eastAsia" w:ascii="仿宋_GB2312" w:hAnsi="仿宋_GB2312" w:eastAsia="仿宋_GB2312" w:cs="仿宋_GB2312"/>
          <w:b/>
          <w:bCs/>
          <w:color w:val="auto"/>
          <w:kern w:val="2"/>
          <w:sz w:val="32"/>
          <w:szCs w:val="21"/>
          <w:u w:val="none"/>
          <w:lang w:val="en-US" w:eastAsia="zh-CN" w:bidi="ar-SA"/>
        </w:rPr>
        <w:t>创新物流服务模式。</w:t>
      </w:r>
      <w:r>
        <w:rPr>
          <w:rFonts w:hint="eastAsia" w:ascii="仿宋_GB2312" w:hAnsi="仿宋_GB2312" w:eastAsia="仿宋_GB2312" w:cs="仿宋_GB2312"/>
          <w:color w:val="auto"/>
          <w:kern w:val="2"/>
          <w:sz w:val="32"/>
          <w:szCs w:val="21"/>
          <w:u w:val="none"/>
          <w:lang w:val="en-US" w:eastAsia="zh-CN" w:bidi="ar-SA"/>
        </w:rPr>
        <w:t>开发推广MaaS（出行即服务）平台，整合公交、共享单车、出租车等多种出行方式资源，为公众提供一站式预约与支付服务，力争中心城区用户渗透率达到预期目标，提升物流与出行衔接效率。</w:t>
      </w:r>
    </w:p>
    <w:p w14:paraId="28C269C2">
      <w:pPr>
        <w:keepNext/>
        <w:keepLines/>
        <w:pageBreakBefore w:val="0"/>
        <w:widowControl w:val="0"/>
        <w:numPr>
          <w:ilvl w:val="0"/>
          <w:numId w:val="0"/>
        </w:numPr>
        <w:kinsoku/>
        <w:wordWrap/>
        <w:overflowPunct/>
        <w:topLinePunct w:val="0"/>
        <w:autoSpaceDE/>
        <w:autoSpaceDN/>
        <w:bidi w:val="0"/>
        <w:adjustRightInd w:val="0"/>
        <w:snapToGrid w:val="0"/>
        <w:spacing w:before="156" w:beforeLines="50" w:after="156" w:afterLines="50" w:line="560" w:lineRule="exact"/>
        <w:ind w:leftChars="0"/>
        <w:jc w:val="center"/>
        <w:textAlignment w:val="auto"/>
        <w:outlineLvl w:val="2"/>
        <w:rPr>
          <w:rFonts w:hint="eastAsia" w:ascii="Times New Roman" w:hAnsi="Times New Roman" w:eastAsia="黑体" w:cs="Times New Roman"/>
          <w:b/>
          <w:bCs/>
          <w:color w:val="auto"/>
          <w:kern w:val="2"/>
          <w:sz w:val="32"/>
          <w:szCs w:val="32"/>
          <w:highlight w:val="none"/>
          <w:u w:val="none"/>
          <w:lang w:val="en-US" w:eastAsia="zh-CN" w:bidi="ar-SA"/>
        </w:rPr>
      </w:pPr>
      <w:bookmarkStart w:id="30" w:name="_Toc16499"/>
      <w:bookmarkStart w:id="31" w:name="_Toc14668"/>
      <w:bookmarkStart w:id="32" w:name="_Toc32541"/>
      <w:r>
        <w:rPr>
          <w:rFonts w:hint="eastAsia" w:ascii="Times New Roman" w:hAnsi="Times New Roman" w:eastAsia="黑体" w:cs="Times New Roman"/>
          <w:b/>
          <w:bCs/>
          <w:color w:val="auto"/>
          <w:kern w:val="2"/>
          <w:sz w:val="32"/>
          <w:szCs w:val="32"/>
          <w:highlight w:val="none"/>
          <w:u w:val="none"/>
          <w:lang w:val="en-US" w:eastAsia="zh-CN" w:bidi="ar-SA"/>
        </w:rPr>
        <w:t>第四节发展目标</w:t>
      </w:r>
      <w:bookmarkEnd w:id="30"/>
      <w:bookmarkEnd w:id="31"/>
      <w:bookmarkEnd w:id="32"/>
    </w:p>
    <w:p w14:paraId="1891438F">
      <w:pPr>
        <w:pageBreakBefore w:val="0"/>
        <w:kinsoku/>
        <w:wordWrap/>
        <w:overflowPunct/>
        <w:topLinePunct w:val="0"/>
        <w:autoSpaceDE/>
        <w:bidi w:val="0"/>
        <w:adjustRightInd w:val="0"/>
        <w:snapToGrid w:val="0"/>
        <w:spacing w:line="560" w:lineRule="exact"/>
        <w:ind w:firstLine="640" w:firstLineChars="200"/>
        <w:textAlignment w:val="auto"/>
        <w:rPr>
          <w:rFonts w:hint="eastAsia" w:ascii="仿宋_GB2312" w:hAnsi="仿宋_GB2312" w:eastAsia="仿宋_GB2312" w:cs="仿宋_GB2312"/>
          <w:color w:val="auto"/>
          <w:kern w:val="2"/>
          <w:sz w:val="32"/>
          <w:szCs w:val="21"/>
          <w:u w:val="none"/>
          <w:lang w:val="en-US" w:eastAsia="zh-CN" w:bidi="ar-SA"/>
        </w:rPr>
      </w:pPr>
      <w:r>
        <w:rPr>
          <w:rFonts w:hint="eastAsia" w:ascii="仿宋_GB2312" w:hAnsi="仿宋_GB2312" w:eastAsia="仿宋_GB2312" w:cs="仿宋_GB2312"/>
          <w:color w:val="auto"/>
          <w:kern w:val="2"/>
          <w:sz w:val="32"/>
          <w:szCs w:val="21"/>
          <w:u w:val="none"/>
          <w:lang w:val="en-US" w:eastAsia="zh-CN" w:bidi="ar-SA"/>
        </w:rPr>
        <w:t>展望“十五五”，需锚定扶沟县“一都一极三基地”发展定位，立足扶沟县情，科学把握发展规律，奋力完成发展目标，全县经济总量和效益再上新台阶，城市能级显著跃升。</w:t>
      </w:r>
    </w:p>
    <w:p w14:paraId="19FFE343">
      <w:pPr>
        <w:pageBreakBefore w:val="0"/>
        <w:kinsoku/>
        <w:wordWrap/>
        <w:overflowPunct/>
        <w:topLinePunct w:val="0"/>
        <w:autoSpaceDE/>
        <w:bidi w:val="0"/>
        <w:adjustRightInd w:val="0"/>
        <w:snapToGrid w:val="0"/>
        <w:spacing w:line="560" w:lineRule="exact"/>
        <w:ind w:firstLine="643" w:firstLineChars="200"/>
        <w:textAlignment w:val="auto"/>
        <w:rPr>
          <w:rFonts w:hint="default" w:ascii="仿宋_GB2312" w:hAnsi="仿宋_GB2312" w:eastAsia="仿宋_GB2312" w:cs="仿宋_GB2312"/>
          <w:color w:val="auto"/>
          <w:kern w:val="2"/>
          <w:sz w:val="32"/>
          <w:szCs w:val="21"/>
          <w:u w:val="none"/>
          <w:lang w:val="en-US" w:eastAsia="zh-CN" w:bidi="ar-SA"/>
        </w:rPr>
      </w:pPr>
      <w:r>
        <w:rPr>
          <w:rFonts w:hint="eastAsia" w:ascii="楷体_GB2312" w:hAnsi="楷体_GB2312" w:eastAsia="楷体_GB2312" w:cs="楷体_GB2312"/>
          <w:b/>
          <w:bCs/>
          <w:color w:val="auto"/>
          <w:kern w:val="2"/>
          <w:sz w:val="32"/>
          <w:szCs w:val="32"/>
          <w:u w:val="none"/>
          <w:lang w:val="en-US" w:eastAsia="zh-CN" w:bidi="ar-SA"/>
        </w:rPr>
        <w:t>综合实力迈上新台阶。</w:t>
      </w:r>
      <w:r>
        <w:rPr>
          <w:rFonts w:hint="eastAsia" w:ascii="仿宋_GB2312" w:hAnsi="仿宋_GB2312" w:eastAsia="仿宋_GB2312" w:cs="仿宋_GB2312"/>
          <w:color w:val="auto"/>
          <w:kern w:val="2"/>
          <w:sz w:val="32"/>
          <w:szCs w:val="21"/>
          <w:u w:val="none"/>
          <w:lang w:val="en-US" w:eastAsia="zh-CN" w:bidi="ar-SA"/>
        </w:rPr>
        <w:t>全县经济总量和效益再上新台阶，城市能级显著跃升。到2030年，力争全县GDP达到380亿元，“十五五”期间年均增速维持5.6%左右，在实际工作中努力争取更好结果。</w:t>
      </w:r>
    </w:p>
    <w:p w14:paraId="3B26B3C2">
      <w:pPr>
        <w:pageBreakBefore w:val="0"/>
        <w:kinsoku/>
        <w:wordWrap/>
        <w:overflowPunct/>
        <w:topLinePunct w:val="0"/>
        <w:autoSpaceDE/>
        <w:bidi w:val="0"/>
        <w:adjustRightInd w:val="0"/>
        <w:snapToGrid w:val="0"/>
        <w:spacing w:line="560" w:lineRule="exact"/>
        <w:ind w:firstLine="643" w:firstLineChars="200"/>
        <w:textAlignment w:val="auto"/>
        <w:rPr>
          <w:rFonts w:hint="eastAsia" w:ascii="仿宋_GB2312" w:hAnsi="仿宋_GB2312" w:eastAsia="仿宋_GB2312" w:cs="仿宋_GB2312"/>
          <w:color w:val="auto"/>
          <w:kern w:val="2"/>
          <w:sz w:val="32"/>
          <w:szCs w:val="21"/>
          <w:u w:val="none"/>
          <w:lang w:val="en-US" w:eastAsia="zh-CN" w:bidi="ar-SA"/>
        </w:rPr>
      </w:pPr>
      <w:r>
        <w:rPr>
          <w:rFonts w:hint="eastAsia" w:ascii="楷体_GB2312" w:hAnsi="楷体_GB2312" w:eastAsia="楷体_GB2312" w:cs="楷体_GB2312"/>
          <w:b/>
          <w:bCs/>
          <w:color w:val="auto"/>
          <w:kern w:val="2"/>
          <w:sz w:val="32"/>
          <w:szCs w:val="32"/>
          <w:u w:val="none"/>
          <w:lang w:val="en-US" w:eastAsia="zh-CN" w:bidi="ar-SA"/>
        </w:rPr>
        <w:t>产业升级实现新突破。</w:t>
      </w:r>
      <w:r>
        <w:rPr>
          <w:rFonts w:hint="eastAsia" w:ascii="仿宋_GB2312" w:hAnsi="仿宋_GB2312" w:eastAsia="仿宋_GB2312" w:cs="仿宋_GB2312"/>
          <w:color w:val="auto"/>
          <w:kern w:val="2"/>
          <w:sz w:val="32"/>
          <w:szCs w:val="21"/>
          <w:u w:val="none"/>
          <w:lang w:val="en-US" w:eastAsia="zh-CN" w:bidi="ar-SA"/>
        </w:rPr>
        <w:t>建设蔬菜强县，推进“一园三带四区”布局，建设国家级现代农业产业园、精深加工基地和智慧物流园，推动“扶沟蔬菜”品牌走向全国。壮大工业集群，实施“技改提升+招大引强”双轮驱动，推动纺织印染向高端面料、成衣制造延伸，汽车零部件向新能源汽车配套转型，培育2-3家年产值超50亿元的龙头企业。培育新兴业态，发展数字经济、绿色能源、文旅融合等产业，建设数字产业园、低空经济培育基地，推动生产性服务业向专业化和价值链高端延伸。“十五五”期间规上工业增加值年均增速为8%。</w:t>
      </w:r>
    </w:p>
    <w:p w14:paraId="0E274A9A">
      <w:pPr>
        <w:pageBreakBefore w:val="0"/>
        <w:kinsoku/>
        <w:wordWrap/>
        <w:overflowPunct/>
        <w:topLinePunct w:val="0"/>
        <w:autoSpaceDE/>
        <w:bidi w:val="0"/>
        <w:adjustRightInd w:val="0"/>
        <w:snapToGrid w:val="0"/>
        <w:spacing w:line="560" w:lineRule="exact"/>
        <w:ind w:firstLine="643" w:firstLineChars="200"/>
        <w:textAlignment w:val="auto"/>
        <w:rPr>
          <w:rFonts w:hint="eastAsia" w:ascii="仿宋_GB2312" w:hAnsi="仿宋_GB2312" w:eastAsia="仿宋_GB2312" w:cs="仿宋_GB2312"/>
          <w:color w:val="auto"/>
          <w:kern w:val="2"/>
          <w:sz w:val="32"/>
          <w:szCs w:val="21"/>
          <w:u w:val="none"/>
          <w:lang w:val="en-US" w:eastAsia="zh-CN" w:bidi="ar-SA"/>
        </w:rPr>
      </w:pPr>
      <w:r>
        <w:rPr>
          <w:rFonts w:hint="eastAsia" w:ascii="楷体_GB2312" w:hAnsi="楷体_GB2312" w:eastAsia="楷体_GB2312" w:cs="楷体_GB2312"/>
          <w:b/>
          <w:bCs/>
          <w:color w:val="auto"/>
          <w:kern w:val="2"/>
          <w:sz w:val="32"/>
          <w:szCs w:val="32"/>
          <w:u w:val="none"/>
          <w:lang w:val="en-US" w:eastAsia="zh-CN" w:bidi="ar-SA"/>
        </w:rPr>
        <w:t>创新驱动取得新成效。</w:t>
      </w:r>
      <w:r>
        <w:rPr>
          <w:rFonts w:hint="eastAsia" w:ascii="仿宋_GB2312" w:hAnsi="仿宋_GB2312" w:eastAsia="仿宋_GB2312" w:cs="仿宋_GB2312"/>
          <w:color w:val="auto"/>
          <w:kern w:val="2"/>
          <w:sz w:val="32"/>
          <w:szCs w:val="21"/>
          <w:u w:val="none"/>
          <w:lang w:val="en-US" w:eastAsia="zh-CN" w:bidi="ar-SA"/>
        </w:rPr>
        <w:t>科技创新对产业发展的引领作用显著增强，创新主体、创新平台实现双倍增，创造新技术、新产品、新业态、新模式，创新成为经济社会发展的核心驱动力，力争十五五期间全县创新要素翻一番。</w:t>
      </w:r>
    </w:p>
    <w:p w14:paraId="1635693C">
      <w:pPr>
        <w:pageBreakBefore w:val="0"/>
        <w:kinsoku/>
        <w:wordWrap/>
        <w:overflowPunct/>
        <w:topLinePunct w:val="0"/>
        <w:autoSpaceDE/>
        <w:bidi w:val="0"/>
        <w:adjustRightInd w:val="0"/>
        <w:snapToGrid w:val="0"/>
        <w:spacing w:line="560" w:lineRule="exact"/>
        <w:ind w:firstLine="643" w:firstLineChars="200"/>
        <w:textAlignment w:val="auto"/>
        <w:rPr>
          <w:rFonts w:hint="eastAsia" w:ascii="仿宋_GB2312" w:hAnsi="仿宋_GB2312" w:eastAsia="仿宋_GB2312" w:cs="仿宋_GB2312"/>
          <w:color w:val="auto"/>
          <w:kern w:val="2"/>
          <w:sz w:val="32"/>
          <w:szCs w:val="21"/>
          <w:u w:val="none"/>
          <w:lang w:val="en-US" w:eastAsia="zh-CN" w:bidi="ar-SA"/>
        </w:rPr>
      </w:pPr>
      <w:r>
        <w:rPr>
          <w:rFonts w:hint="eastAsia" w:ascii="楷体_GB2312" w:hAnsi="楷体_GB2312" w:eastAsia="楷体_GB2312" w:cs="楷体_GB2312"/>
          <w:b/>
          <w:bCs/>
          <w:color w:val="auto"/>
          <w:kern w:val="2"/>
          <w:sz w:val="32"/>
          <w:szCs w:val="32"/>
          <w:u w:val="none"/>
          <w:lang w:val="en-US" w:eastAsia="zh-CN" w:bidi="ar-SA"/>
        </w:rPr>
        <w:t>城乡品质得到新提高。</w:t>
      </w:r>
      <w:r>
        <w:rPr>
          <w:rFonts w:hint="eastAsia" w:ascii="仿宋_GB2312" w:hAnsi="仿宋_GB2312" w:eastAsia="仿宋_GB2312" w:cs="仿宋_GB2312"/>
          <w:color w:val="auto"/>
          <w:kern w:val="2"/>
          <w:sz w:val="32"/>
          <w:szCs w:val="21"/>
          <w:u w:val="none"/>
          <w:lang w:val="en-US" w:eastAsia="zh-CN" w:bidi="ar-SA"/>
        </w:rPr>
        <w:t>扶沟县城镇化水平大幅提高，多层次的城镇发展体系更加完善。城市更新加速推进，乡村振兴取得重大突破，资源配置效率和发展综合效益大幅提升，基本形成以城带乡、城乡融合发展的良性互动格局。</w:t>
      </w:r>
      <w:r>
        <w:rPr>
          <w:rFonts w:hint="default" w:ascii="仿宋_GB2312" w:hAnsi="仿宋_GB2312" w:eastAsia="仿宋_GB2312" w:cs="仿宋_GB2312"/>
          <w:color w:val="auto"/>
          <w:kern w:val="2"/>
          <w:sz w:val="32"/>
          <w:szCs w:val="21"/>
          <w:u w:val="none"/>
          <w:lang w:val="en-US" w:eastAsia="zh-CN" w:bidi="ar-SA"/>
        </w:rPr>
        <w:t>乡村旅游和农村电商深度融合，</w:t>
      </w:r>
      <w:r>
        <w:rPr>
          <w:rFonts w:hint="eastAsia" w:ascii="仿宋_GB2312" w:hAnsi="仿宋_GB2312" w:eastAsia="仿宋_GB2312" w:cs="仿宋_GB2312"/>
          <w:color w:val="auto"/>
          <w:kern w:val="2"/>
          <w:sz w:val="32"/>
          <w:szCs w:val="21"/>
          <w:u w:val="none"/>
          <w:lang w:val="en-US" w:eastAsia="zh-CN" w:bidi="ar-SA"/>
        </w:rPr>
        <w:t>城乡</w:t>
      </w:r>
      <w:r>
        <w:rPr>
          <w:rFonts w:hint="default" w:ascii="仿宋_GB2312" w:hAnsi="仿宋_GB2312" w:eastAsia="仿宋_GB2312" w:cs="仿宋_GB2312"/>
          <w:color w:val="auto"/>
          <w:kern w:val="2"/>
          <w:sz w:val="32"/>
          <w:szCs w:val="21"/>
          <w:u w:val="none"/>
          <w:lang w:val="en-US" w:eastAsia="zh-CN" w:bidi="ar-SA"/>
        </w:rPr>
        <w:t>基础设施逐渐完善</w:t>
      </w:r>
      <w:r>
        <w:rPr>
          <w:rFonts w:hint="eastAsia" w:ascii="仿宋_GB2312" w:hAnsi="仿宋_GB2312" w:eastAsia="仿宋_GB2312" w:cs="仿宋_GB2312"/>
          <w:color w:val="auto"/>
          <w:kern w:val="2"/>
          <w:sz w:val="32"/>
          <w:szCs w:val="21"/>
          <w:u w:val="none"/>
          <w:lang w:val="en-US" w:eastAsia="zh-CN" w:bidi="ar-SA"/>
        </w:rPr>
        <w:t>。到2030年，常住人口城镇化率突破50%。</w:t>
      </w:r>
    </w:p>
    <w:p w14:paraId="32656B5C">
      <w:pPr>
        <w:pageBreakBefore w:val="0"/>
        <w:kinsoku/>
        <w:wordWrap/>
        <w:overflowPunct/>
        <w:topLinePunct w:val="0"/>
        <w:autoSpaceDE/>
        <w:bidi w:val="0"/>
        <w:adjustRightInd w:val="0"/>
        <w:snapToGrid w:val="0"/>
        <w:spacing w:line="560" w:lineRule="exact"/>
        <w:ind w:firstLine="643" w:firstLineChars="200"/>
        <w:textAlignment w:val="auto"/>
        <w:rPr>
          <w:rFonts w:hint="eastAsia" w:ascii="仿宋_GB2312" w:hAnsi="仿宋_GB2312" w:eastAsia="仿宋_GB2312" w:cs="仿宋_GB2312"/>
          <w:color w:val="auto"/>
          <w:kern w:val="2"/>
          <w:sz w:val="32"/>
          <w:szCs w:val="21"/>
          <w:u w:val="none"/>
          <w:lang w:val="en-US" w:eastAsia="zh-CN" w:bidi="ar-SA"/>
        </w:rPr>
      </w:pPr>
      <w:r>
        <w:rPr>
          <w:rFonts w:hint="eastAsia" w:ascii="楷体_GB2312" w:hAnsi="楷体_GB2312" w:eastAsia="楷体_GB2312" w:cs="楷体_GB2312"/>
          <w:b/>
          <w:bCs/>
          <w:color w:val="auto"/>
          <w:kern w:val="2"/>
          <w:sz w:val="32"/>
          <w:szCs w:val="32"/>
          <w:u w:val="none"/>
          <w:lang w:val="en-US" w:eastAsia="zh-CN" w:bidi="ar-SA"/>
        </w:rPr>
        <w:t>改革开放实现新突破。</w:t>
      </w:r>
      <w:r>
        <w:rPr>
          <w:rFonts w:hint="eastAsia" w:ascii="仿宋_GB2312" w:hAnsi="仿宋_GB2312" w:eastAsia="仿宋_GB2312" w:cs="仿宋_GB2312"/>
          <w:color w:val="auto"/>
          <w:kern w:val="2"/>
          <w:sz w:val="32"/>
          <w:szCs w:val="21"/>
          <w:u w:val="none"/>
          <w:lang w:val="en-US" w:eastAsia="zh-CN" w:bidi="ar-SA"/>
        </w:rPr>
        <w:t>建立健全营商环境评价机制，持续改进和提升营商环境水平，全面推进政务服务标准化、规范化、便利化，推进行政审批制度和商事制度改革，确保我县建立一站式服务、窗口审批服务机制，加强知识产权保护，维护公平竞争市场秩序，激发市场主体活力。</w:t>
      </w:r>
    </w:p>
    <w:p w14:paraId="71998CDE">
      <w:pPr>
        <w:pageBreakBefore w:val="0"/>
        <w:kinsoku/>
        <w:wordWrap/>
        <w:overflowPunct/>
        <w:topLinePunct w:val="0"/>
        <w:autoSpaceDE/>
        <w:bidi w:val="0"/>
        <w:adjustRightInd w:val="0"/>
        <w:snapToGrid w:val="0"/>
        <w:spacing w:line="560" w:lineRule="exact"/>
        <w:ind w:firstLine="643" w:firstLineChars="200"/>
        <w:textAlignment w:val="auto"/>
        <w:rPr>
          <w:rFonts w:hint="eastAsia" w:ascii="仿宋_GB2312" w:hAnsi="仿宋_GB2312" w:eastAsia="仿宋_GB2312" w:cs="仿宋_GB2312"/>
          <w:color w:val="auto"/>
          <w:kern w:val="2"/>
          <w:sz w:val="32"/>
          <w:szCs w:val="21"/>
          <w:u w:val="none"/>
          <w:lang w:val="en-US" w:eastAsia="zh-CN" w:bidi="ar-SA"/>
        </w:rPr>
      </w:pPr>
      <w:r>
        <w:rPr>
          <w:rFonts w:hint="eastAsia" w:ascii="楷体_GB2312" w:hAnsi="楷体_GB2312" w:eastAsia="楷体_GB2312" w:cs="楷体_GB2312"/>
          <w:b/>
          <w:bCs/>
          <w:color w:val="auto"/>
          <w:kern w:val="2"/>
          <w:sz w:val="32"/>
          <w:szCs w:val="32"/>
          <w:u w:val="none"/>
          <w:lang w:val="en-US" w:eastAsia="zh-CN" w:bidi="ar-SA"/>
        </w:rPr>
        <w:t>生态建设实现新进步。</w:t>
      </w:r>
      <w:r>
        <w:rPr>
          <w:rFonts w:hint="eastAsia" w:ascii="仿宋_GB2312" w:hAnsi="仿宋_GB2312" w:eastAsia="仿宋_GB2312" w:cs="仿宋_GB2312"/>
          <w:color w:val="auto"/>
          <w:kern w:val="2"/>
          <w:sz w:val="32"/>
          <w:szCs w:val="21"/>
          <w:u w:val="none"/>
          <w:lang w:val="en-US" w:eastAsia="zh-CN" w:bidi="ar-SA"/>
        </w:rPr>
        <w:t>生态文明制度体系更加健全，国土空间开发保护格局更加清晰合理，以贾鲁河、清水河湿地的地域景观为靓点，推动扶沟县省级湿地公园建设，达成生态保护与利用的有效结合。生态环境质量持续改善，生态系统安全性稳定性显著增强，建成宜居宜业宜游的高品质人居环境。到2030年，单位GDP能耗等约束性指标达到上级下达的任务标准。</w:t>
      </w:r>
    </w:p>
    <w:p w14:paraId="4C982DB3">
      <w:pPr>
        <w:pageBreakBefore w:val="0"/>
        <w:kinsoku/>
        <w:wordWrap/>
        <w:overflowPunct/>
        <w:topLinePunct w:val="0"/>
        <w:autoSpaceDE/>
        <w:bidi w:val="0"/>
        <w:adjustRightInd w:val="0"/>
        <w:snapToGrid w:val="0"/>
        <w:spacing w:line="560" w:lineRule="exact"/>
        <w:ind w:firstLine="643" w:firstLineChars="200"/>
        <w:textAlignment w:val="auto"/>
        <w:rPr>
          <w:rFonts w:hint="eastAsia" w:ascii="仿宋_GB2312" w:hAnsi="仿宋_GB2312" w:eastAsia="仿宋_GB2312" w:cs="仿宋_GB2312"/>
          <w:color w:val="auto"/>
          <w:kern w:val="2"/>
          <w:sz w:val="32"/>
          <w:szCs w:val="21"/>
          <w:u w:val="none"/>
          <w:lang w:val="en-US" w:eastAsia="zh-CN" w:bidi="ar-SA"/>
        </w:rPr>
      </w:pPr>
      <w:r>
        <w:rPr>
          <w:rFonts w:hint="eastAsia" w:ascii="楷体_GB2312" w:hAnsi="楷体_GB2312" w:eastAsia="楷体_GB2312" w:cs="楷体_GB2312"/>
          <w:b/>
          <w:bCs/>
          <w:color w:val="auto"/>
          <w:kern w:val="2"/>
          <w:sz w:val="32"/>
          <w:szCs w:val="32"/>
          <w:u w:val="none"/>
          <w:lang w:val="en-US" w:eastAsia="zh-CN" w:bidi="ar-SA"/>
        </w:rPr>
        <w:t>文旅融合展示新景象。</w:t>
      </w:r>
      <w:r>
        <w:rPr>
          <w:rFonts w:hint="eastAsia" w:ascii="仿宋_GB2312" w:hAnsi="仿宋_GB2312" w:eastAsia="仿宋_GB2312" w:cs="仿宋_GB2312"/>
          <w:color w:val="auto"/>
          <w:kern w:val="2"/>
          <w:sz w:val="32"/>
          <w:szCs w:val="21"/>
          <w:u w:val="none"/>
          <w:lang w:val="en-US" w:eastAsia="zh-CN" w:bidi="ar-SA"/>
        </w:rPr>
        <w:t>依托扶沟县域吉鸿昌等红色文化资源，大程书院等传统文化资源，蔬菜种植基地等绿色资源，打造县域内“红古绿”三色旅游路线。通过完善文旅文创产品体系，融入周口市“全域文旅提档升级”战略，打造文旅文创融合示范县，重点发展红色研学、生态康养、“古色寻根”游三大文旅名片‌。</w:t>
      </w:r>
    </w:p>
    <w:p w14:paraId="39B6AF63">
      <w:pPr>
        <w:pageBreakBefore w:val="0"/>
        <w:kinsoku/>
        <w:wordWrap/>
        <w:overflowPunct/>
        <w:topLinePunct w:val="0"/>
        <w:autoSpaceDE/>
        <w:bidi w:val="0"/>
        <w:adjustRightInd w:val="0"/>
        <w:snapToGrid w:val="0"/>
        <w:spacing w:line="560" w:lineRule="exact"/>
        <w:ind w:firstLine="643" w:firstLineChars="200"/>
        <w:textAlignment w:val="auto"/>
        <w:rPr>
          <w:rFonts w:hint="eastAsia" w:ascii="仿宋_GB2312" w:hAnsi="仿宋_GB2312" w:eastAsia="仿宋_GB2312" w:cs="仿宋_GB2312"/>
          <w:color w:val="auto"/>
          <w:kern w:val="2"/>
          <w:sz w:val="32"/>
          <w:szCs w:val="21"/>
          <w:u w:val="none"/>
          <w:lang w:val="en-US" w:eastAsia="zh-CN" w:bidi="ar-SA"/>
        </w:rPr>
      </w:pPr>
      <w:r>
        <w:rPr>
          <w:rFonts w:hint="eastAsia" w:ascii="楷体_GB2312" w:hAnsi="楷体_GB2312" w:eastAsia="楷体_GB2312" w:cs="楷体_GB2312"/>
          <w:b/>
          <w:bCs/>
          <w:color w:val="auto"/>
          <w:kern w:val="2"/>
          <w:sz w:val="32"/>
          <w:szCs w:val="32"/>
          <w:u w:val="none"/>
          <w:lang w:val="en-US" w:eastAsia="zh-CN" w:bidi="ar-SA"/>
        </w:rPr>
        <w:t>社会文明呈现新图景。</w:t>
      </w:r>
      <w:r>
        <w:rPr>
          <w:rFonts w:hint="eastAsia" w:ascii="仿宋_GB2312" w:hAnsi="仿宋_GB2312" w:eastAsia="仿宋_GB2312" w:cs="仿宋_GB2312"/>
          <w:color w:val="auto"/>
          <w:kern w:val="2"/>
          <w:sz w:val="32"/>
          <w:szCs w:val="21"/>
          <w:u w:val="none"/>
          <w:lang w:val="en-US" w:eastAsia="zh-CN" w:bidi="ar-SA"/>
        </w:rPr>
        <w:t>社会主义核心价值观深入人心，全民思想道德素质、科学文化素质、身心健康素质和社会文明程度显著提升。精神文明创建持续深化，文明城市、文明村镇、文明家庭等创建活动广泛开展，形成崇德向善、邻里和睦的社会风尚。公共文化服务体系更加健全，县文化馆、图书馆功能优化，乡镇、村文化服务中心配套完善，群众精神文化生活日益丰富。红色文化、理学文化等优秀传统文化得到充分传承弘扬，吉鸿昌将军爱国主义精神广泛传播，大程书院等文物保护利用成效显著，文化软实力持续增强。公民文明素养全面提升，移风易俗深入推进，高额彩礼、大操大办等陋习有效整治，诚信友善、勤俭节约的社会新风尚蔚然成风。</w:t>
      </w:r>
    </w:p>
    <w:p w14:paraId="4F72075E">
      <w:pPr>
        <w:pageBreakBefore w:val="0"/>
        <w:kinsoku/>
        <w:wordWrap/>
        <w:overflowPunct/>
        <w:topLinePunct w:val="0"/>
        <w:autoSpaceDE/>
        <w:bidi w:val="0"/>
        <w:adjustRightInd w:val="0"/>
        <w:snapToGrid w:val="0"/>
        <w:spacing w:line="560" w:lineRule="exact"/>
        <w:ind w:firstLine="643" w:firstLineChars="200"/>
        <w:textAlignment w:val="auto"/>
        <w:rPr>
          <w:rFonts w:hint="eastAsia" w:ascii="仿宋_GB2312" w:hAnsi="仿宋_GB2312" w:eastAsia="仿宋_GB2312" w:cs="仿宋_GB2312"/>
          <w:color w:val="auto"/>
          <w:kern w:val="2"/>
          <w:sz w:val="32"/>
          <w:szCs w:val="21"/>
          <w:u w:val="none"/>
          <w:lang w:val="en-US" w:eastAsia="zh-CN" w:bidi="ar-SA"/>
        </w:rPr>
      </w:pPr>
      <w:bookmarkStart w:id="33" w:name="_Toc11408"/>
      <w:bookmarkStart w:id="34" w:name="_Toc13435"/>
      <w:bookmarkStart w:id="35" w:name="_Toc31274"/>
      <w:bookmarkStart w:id="36" w:name="_Toc18405"/>
      <w:r>
        <w:rPr>
          <w:rFonts w:hint="eastAsia" w:ascii="楷体_GB2312" w:hAnsi="楷体_GB2312" w:eastAsia="楷体_GB2312" w:cs="楷体_GB2312"/>
          <w:b/>
          <w:bCs/>
          <w:color w:val="auto"/>
          <w:kern w:val="2"/>
          <w:sz w:val="32"/>
          <w:szCs w:val="32"/>
          <w:u w:val="none"/>
          <w:lang w:val="en-US" w:eastAsia="zh-CN" w:bidi="ar-SA"/>
        </w:rPr>
        <w:t>治理效能取得新提升</w:t>
      </w:r>
      <w:bookmarkEnd w:id="33"/>
      <w:bookmarkEnd w:id="34"/>
      <w:bookmarkEnd w:id="35"/>
      <w:bookmarkEnd w:id="36"/>
      <w:r>
        <w:rPr>
          <w:rFonts w:hint="eastAsia" w:ascii="楷体_GB2312" w:hAnsi="楷体_GB2312" w:eastAsia="楷体_GB2312" w:cs="楷体_GB2312"/>
          <w:b/>
          <w:bCs/>
          <w:color w:val="auto"/>
          <w:kern w:val="2"/>
          <w:sz w:val="32"/>
          <w:szCs w:val="32"/>
          <w:u w:val="none"/>
          <w:lang w:val="en-US" w:eastAsia="zh-CN" w:bidi="ar-SA"/>
        </w:rPr>
        <w:t>。</w:t>
      </w:r>
      <w:r>
        <w:rPr>
          <w:rFonts w:hint="eastAsia" w:ascii="仿宋_GB2312" w:hAnsi="仿宋_GB2312" w:eastAsia="仿宋_GB2312" w:cs="仿宋_GB2312"/>
          <w:color w:val="auto"/>
          <w:kern w:val="2"/>
          <w:sz w:val="32"/>
          <w:szCs w:val="21"/>
          <w:u w:val="none"/>
          <w:lang w:val="en-US" w:eastAsia="zh-CN" w:bidi="ar-SA"/>
        </w:rPr>
        <w:t>推进高效执行体系建设，重大风险防范化解能力、突发公共突发公共事件应急能力、防灾减灾救灾能力显著增强，现代应急体系基本建成，平安建设体系更加完善，发展安全保障更加有力，在治理体系和治理能力现代化建设方面创建县域治理典范。</w:t>
      </w:r>
    </w:p>
    <w:p w14:paraId="038C5678">
      <w:pPr>
        <w:keepNext w:val="0"/>
        <w:keepLines w:val="0"/>
        <w:pageBreakBefore w:val="0"/>
        <w:widowControl w:val="0"/>
        <w:kinsoku/>
        <w:wordWrap/>
        <w:overflowPunct/>
        <w:topLinePunct w:val="0"/>
        <w:autoSpaceDE/>
        <w:autoSpaceDN/>
        <w:bidi w:val="0"/>
        <w:adjustRightInd w:val="0"/>
        <w:snapToGrid w:val="0"/>
        <w:spacing w:after="721" w:afterLines="200" w:line="560" w:lineRule="exact"/>
        <w:ind w:firstLine="643" w:firstLineChars="200"/>
        <w:textAlignment w:val="auto"/>
        <w:rPr>
          <w:rFonts w:hint="eastAsia" w:ascii="仿宋_GB2312" w:hAnsi="仿宋_GB2312" w:eastAsia="仿宋_GB2312" w:cs="仿宋_GB2312"/>
          <w:color w:val="auto"/>
          <w:kern w:val="2"/>
          <w:sz w:val="32"/>
          <w:szCs w:val="21"/>
          <w:u w:val="none"/>
          <w:lang w:val="en-US" w:eastAsia="zh-CN" w:bidi="ar-SA"/>
        </w:rPr>
      </w:pPr>
      <w:r>
        <w:rPr>
          <w:rFonts w:hint="eastAsia" w:ascii="楷体_GB2312" w:hAnsi="楷体_GB2312" w:eastAsia="楷体_GB2312" w:cs="楷体_GB2312"/>
          <w:b/>
          <w:bCs/>
          <w:color w:val="auto"/>
          <w:kern w:val="2"/>
          <w:sz w:val="32"/>
          <w:szCs w:val="32"/>
          <w:u w:val="none"/>
          <w:lang w:val="en-US" w:eastAsia="zh-CN" w:bidi="ar-SA"/>
        </w:rPr>
        <w:t>民生福祉达到新水平。</w:t>
      </w:r>
      <w:r>
        <w:rPr>
          <w:rFonts w:hint="eastAsia" w:ascii="仿宋_GB2312" w:hAnsi="仿宋_GB2312" w:eastAsia="仿宋_GB2312" w:cs="仿宋_GB2312"/>
          <w:color w:val="auto"/>
          <w:kern w:val="2"/>
          <w:sz w:val="32"/>
          <w:szCs w:val="21"/>
          <w:u w:val="none"/>
          <w:lang w:val="en-US" w:eastAsia="zh-CN" w:bidi="ar-SA"/>
        </w:rPr>
        <w:t>就业供给能力大幅增强，居民收入和经济保持同步快速增长，扎实推进共同富裕。教育、医疗、文化、体育、住房等公共服务体系和社会保障体系更加完善，进一步提升社会保险服务能力，食品药品安全、公共卫生安全保障能力进一步增强，人民群众获得感、幸福感大幅提升。“十五五”期间居民人均可支配收入年均增长5%以上。法治扶沟、平安扶沟建设深入推进，重大突发公共事件应急能力和防灾减灾抗灾救灾能力显著增强。</w:t>
      </w:r>
    </w:p>
    <w:p w14:paraId="19BE5199">
      <w:pPr>
        <w:keepNext w:val="0"/>
        <w:keepLines w:val="0"/>
        <w:pageBreakBefore w:val="0"/>
        <w:widowControl w:val="0"/>
        <w:kinsoku/>
        <w:wordWrap/>
        <w:overflowPunct/>
        <w:topLinePunct w:val="0"/>
        <w:autoSpaceDE/>
        <w:autoSpaceDN/>
        <w:bidi w:val="0"/>
        <w:adjustRightInd w:val="0"/>
        <w:snapToGrid w:val="0"/>
        <w:spacing w:after="721" w:afterLines="200" w:line="560" w:lineRule="exact"/>
        <w:ind w:firstLine="640" w:firstLineChars="200"/>
        <w:textAlignment w:val="auto"/>
        <w:rPr>
          <w:rFonts w:hint="eastAsia" w:ascii="仿宋_GB2312" w:hAnsi="仿宋_GB2312" w:eastAsia="仿宋_GB2312" w:cs="仿宋_GB2312"/>
          <w:color w:val="auto"/>
          <w:kern w:val="2"/>
          <w:sz w:val="32"/>
          <w:szCs w:val="21"/>
          <w:u w:val="none"/>
          <w:lang w:val="en-US" w:eastAsia="zh-CN" w:bidi="ar-SA"/>
        </w:rPr>
      </w:pPr>
    </w:p>
    <w:p w14:paraId="1CF1CEBD">
      <w:pPr>
        <w:keepNext w:val="0"/>
        <w:keepLines w:val="0"/>
        <w:pageBreakBefore w:val="0"/>
        <w:widowControl w:val="0"/>
        <w:kinsoku/>
        <w:wordWrap/>
        <w:overflowPunct/>
        <w:topLinePunct w:val="0"/>
        <w:autoSpaceDE/>
        <w:autoSpaceDN/>
        <w:bidi w:val="0"/>
        <w:adjustRightInd w:val="0"/>
        <w:snapToGrid w:val="0"/>
        <w:spacing w:after="721" w:afterLines="200" w:line="560" w:lineRule="exact"/>
        <w:ind w:firstLine="640" w:firstLineChars="200"/>
        <w:textAlignment w:val="auto"/>
        <w:rPr>
          <w:rFonts w:hint="eastAsia" w:ascii="仿宋_GB2312" w:hAnsi="仿宋_GB2312" w:eastAsia="仿宋_GB2312" w:cs="仿宋_GB2312"/>
          <w:color w:val="auto"/>
          <w:kern w:val="2"/>
          <w:sz w:val="32"/>
          <w:szCs w:val="21"/>
          <w:u w:val="none"/>
          <w:lang w:val="en-US" w:eastAsia="zh-CN" w:bidi="ar-SA"/>
        </w:rPr>
      </w:pPr>
    </w:p>
    <w:p w14:paraId="62B5D77E">
      <w:pPr>
        <w:keepNext w:val="0"/>
        <w:keepLines w:val="0"/>
        <w:pageBreakBefore w:val="0"/>
        <w:widowControl w:val="0"/>
        <w:kinsoku/>
        <w:wordWrap/>
        <w:overflowPunct/>
        <w:topLinePunct w:val="0"/>
        <w:autoSpaceDE/>
        <w:autoSpaceDN/>
        <w:bidi w:val="0"/>
        <w:adjustRightInd w:val="0"/>
        <w:snapToGrid w:val="0"/>
        <w:spacing w:after="721" w:afterLines="200" w:line="560" w:lineRule="exact"/>
        <w:ind w:firstLine="640" w:firstLineChars="200"/>
        <w:textAlignment w:val="auto"/>
        <w:rPr>
          <w:rFonts w:hint="eastAsia" w:ascii="仿宋_GB2312" w:hAnsi="仿宋_GB2312" w:eastAsia="仿宋_GB2312" w:cs="仿宋_GB2312"/>
          <w:color w:val="auto"/>
          <w:kern w:val="2"/>
          <w:sz w:val="32"/>
          <w:szCs w:val="21"/>
          <w:u w:val="none"/>
          <w:lang w:val="en-US" w:eastAsia="zh-CN" w:bidi="ar-SA"/>
        </w:rPr>
      </w:pPr>
    </w:p>
    <w:p w14:paraId="2326B940">
      <w:pPr>
        <w:keepNext w:val="0"/>
        <w:keepLines w:val="0"/>
        <w:pageBreakBefore w:val="0"/>
        <w:widowControl w:val="0"/>
        <w:kinsoku/>
        <w:wordWrap/>
        <w:overflowPunct/>
        <w:topLinePunct w:val="0"/>
        <w:autoSpaceDE/>
        <w:autoSpaceDN/>
        <w:bidi w:val="0"/>
        <w:adjustRightInd w:val="0"/>
        <w:snapToGrid w:val="0"/>
        <w:spacing w:after="721" w:afterLines="200" w:line="560" w:lineRule="exact"/>
        <w:ind w:firstLine="640" w:firstLineChars="200"/>
        <w:textAlignment w:val="auto"/>
        <w:rPr>
          <w:rFonts w:hint="eastAsia" w:ascii="仿宋_GB2312" w:hAnsi="仿宋_GB2312" w:eastAsia="仿宋_GB2312" w:cs="仿宋_GB2312"/>
          <w:color w:val="auto"/>
          <w:kern w:val="2"/>
          <w:sz w:val="32"/>
          <w:szCs w:val="21"/>
          <w:u w:val="none"/>
          <w:lang w:val="en-US" w:eastAsia="zh-CN" w:bidi="ar-SA"/>
        </w:rPr>
      </w:pPr>
    </w:p>
    <w:p w14:paraId="31DD114C">
      <w:pPr>
        <w:keepNext w:val="0"/>
        <w:keepLines w:val="0"/>
        <w:pageBreakBefore w:val="0"/>
        <w:widowControl w:val="0"/>
        <w:kinsoku/>
        <w:wordWrap/>
        <w:overflowPunct/>
        <w:topLinePunct w:val="0"/>
        <w:autoSpaceDE/>
        <w:autoSpaceDN/>
        <w:bidi w:val="0"/>
        <w:adjustRightInd w:val="0"/>
        <w:snapToGrid w:val="0"/>
        <w:spacing w:after="721" w:afterLines="200" w:line="560" w:lineRule="exact"/>
        <w:ind w:firstLine="640" w:firstLineChars="200"/>
        <w:textAlignment w:val="auto"/>
        <w:rPr>
          <w:rFonts w:hint="eastAsia" w:ascii="仿宋_GB2312" w:hAnsi="仿宋_GB2312" w:eastAsia="仿宋_GB2312" w:cs="仿宋_GB2312"/>
          <w:color w:val="auto"/>
          <w:kern w:val="2"/>
          <w:sz w:val="32"/>
          <w:szCs w:val="21"/>
          <w:u w:val="none"/>
          <w:lang w:val="en-US" w:eastAsia="zh-CN" w:bidi="ar-SA"/>
        </w:rPr>
      </w:pPr>
    </w:p>
    <w:p w14:paraId="10EC4EBA">
      <w:pPr>
        <w:keepNext w:val="0"/>
        <w:keepLines w:val="0"/>
        <w:pageBreakBefore w:val="0"/>
        <w:widowControl w:val="0"/>
        <w:kinsoku/>
        <w:wordWrap/>
        <w:overflowPunct/>
        <w:topLinePunct w:val="0"/>
        <w:autoSpaceDE/>
        <w:autoSpaceDN/>
        <w:bidi w:val="0"/>
        <w:adjustRightInd w:val="0"/>
        <w:snapToGrid w:val="0"/>
        <w:spacing w:after="721" w:afterLines="200" w:line="560" w:lineRule="exact"/>
        <w:ind w:firstLine="640" w:firstLineChars="200"/>
        <w:textAlignment w:val="auto"/>
        <w:rPr>
          <w:rFonts w:hint="eastAsia" w:ascii="仿宋_GB2312" w:hAnsi="仿宋_GB2312" w:eastAsia="仿宋_GB2312" w:cs="仿宋_GB2312"/>
          <w:color w:val="auto"/>
          <w:kern w:val="2"/>
          <w:sz w:val="32"/>
          <w:szCs w:val="21"/>
          <w:u w:val="none"/>
          <w:lang w:val="en-US" w:eastAsia="zh-CN" w:bidi="ar-SA"/>
        </w:rPr>
      </w:pPr>
    </w:p>
    <w:p w14:paraId="30DA19C4">
      <w:pPr>
        <w:keepNext w:val="0"/>
        <w:keepLines w:val="0"/>
        <w:pageBreakBefore w:val="0"/>
        <w:widowControl w:val="0"/>
        <w:kinsoku/>
        <w:wordWrap/>
        <w:overflowPunct/>
        <w:topLinePunct w:val="0"/>
        <w:autoSpaceDE/>
        <w:autoSpaceDN/>
        <w:bidi w:val="0"/>
        <w:adjustRightInd w:val="0"/>
        <w:snapToGrid w:val="0"/>
        <w:spacing w:after="721" w:afterLines="200" w:line="560" w:lineRule="exact"/>
        <w:ind w:firstLine="640" w:firstLineChars="200"/>
        <w:textAlignment w:val="auto"/>
        <w:rPr>
          <w:rFonts w:hint="eastAsia" w:ascii="仿宋_GB2312" w:hAnsi="仿宋_GB2312" w:eastAsia="仿宋_GB2312" w:cs="仿宋_GB2312"/>
          <w:color w:val="auto"/>
          <w:kern w:val="2"/>
          <w:sz w:val="32"/>
          <w:szCs w:val="21"/>
          <w:u w:val="none"/>
          <w:lang w:val="en-US" w:eastAsia="zh-CN" w:bidi="ar-SA"/>
        </w:rPr>
      </w:pPr>
    </w:p>
    <w:p w14:paraId="2DE57B7C">
      <w:pPr>
        <w:keepNext w:val="0"/>
        <w:keepLines w:val="0"/>
        <w:pageBreakBefore w:val="0"/>
        <w:widowControl w:val="0"/>
        <w:kinsoku/>
        <w:wordWrap/>
        <w:overflowPunct/>
        <w:topLinePunct w:val="0"/>
        <w:autoSpaceDE/>
        <w:autoSpaceDN/>
        <w:bidi w:val="0"/>
        <w:adjustRightInd w:val="0"/>
        <w:snapToGrid w:val="0"/>
        <w:spacing w:after="721" w:afterLines="200" w:line="560" w:lineRule="exact"/>
        <w:ind w:firstLine="640" w:firstLineChars="200"/>
        <w:textAlignment w:val="auto"/>
        <w:rPr>
          <w:rFonts w:hint="eastAsia" w:ascii="仿宋_GB2312" w:hAnsi="仿宋_GB2312" w:eastAsia="仿宋_GB2312" w:cs="仿宋_GB2312"/>
          <w:color w:val="auto"/>
          <w:kern w:val="2"/>
          <w:sz w:val="32"/>
          <w:szCs w:val="21"/>
          <w:u w:val="none"/>
          <w:lang w:val="en-US" w:eastAsia="zh-CN" w:bidi="ar-SA"/>
        </w:rPr>
      </w:pPr>
    </w:p>
    <w:p w14:paraId="18495E83">
      <w:pPr>
        <w:keepNext w:val="0"/>
        <w:keepLines w:val="0"/>
        <w:pageBreakBefore w:val="0"/>
        <w:widowControl w:val="0"/>
        <w:kinsoku/>
        <w:wordWrap/>
        <w:overflowPunct/>
        <w:topLinePunct w:val="0"/>
        <w:autoSpaceDE/>
        <w:autoSpaceDN/>
        <w:bidi w:val="0"/>
        <w:adjustRightInd w:val="0"/>
        <w:snapToGrid w:val="0"/>
        <w:spacing w:after="721" w:afterLines="200" w:line="560" w:lineRule="exact"/>
        <w:ind w:firstLine="640" w:firstLineChars="200"/>
        <w:textAlignment w:val="auto"/>
        <w:rPr>
          <w:rFonts w:hint="eastAsia" w:ascii="仿宋_GB2312" w:hAnsi="仿宋_GB2312" w:eastAsia="仿宋_GB2312" w:cs="仿宋_GB2312"/>
          <w:color w:val="auto"/>
          <w:kern w:val="2"/>
          <w:sz w:val="32"/>
          <w:szCs w:val="21"/>
          <w:u w:val="none"/>
          <w:lang w:val="en-US" w:eastAsia="zh-CN" w:bidi="ar-SA"/>
        </w:rPr>
      </w:pPr>
    </w:p>
    <w:tbl>
      <w:tblPr>
        <w:tblStyle w:val="21"/>
        <w:tblW w:w="91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06"/>
        <w:gridCol w:w="3000"/>
        <w:gridCol w:w="1350"/>
        <w:gridCol w:w="1395"/>
        <w:gridCol w:w="1320"/>
        <w:gridCol w:w="1065"/>
      </w:tblGrid>
      <w:tr w14:paraId="2CD9F4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9136" w:type="dxa"/>
            <w:gridSpan w:val="6"/>
            <w:tcBorders>
              <w:tl2br w:val="nil"/>
              <w:tr2bl w:val="nil"/>
            </w:tcBorders>
            <w:vAlign w:val="center"/>
          </w:tcPr>
          <w:p w14:paraId="6FDE4B78">
            <w:pPr>
              <w:pageBreakBefore w:val="0"/>
              <w:widowControl/>
              <w:kinsoku/>
              <w:wordWrap/>
              <w:overflowPunct/>
              <w:topLinePunct w:val="0"/>
              <w:autoSpaceDE/>
              <w:bidi w:val="0"/>
              <w:snapToGrid w:val="0"/>
              <w:spacing w:line="560" w:lineRule="exact"/>
              <w:jc w:val="center"/>
              <w:textAlignment w:val="auto"/>
              <w:rPr>
                <w:rFonts w:hint="default" w:ascii="仿宋" w:hAnsi="仿宋" w:eastAsia="仿宋" w:cs="仿宋"/>
                <w:b/>
                <w:bCs/>
                <w:color w:val="auto"/>
                <w:sz w:val="21"/>
                <w:szCs w:val="21"/>
                <w:highlight w:val="none"/>
                <w:lang w:val="en-US" w:eastAsia="zh-CN"/>
              </w:rPr>
            </w:pPr>
            <w:r>
              <w:rPr>
                <w:rFonts w:hint="eastAsia" w:ascii="楷体_GB2312" w:hAnsi="楷体_GB2312" w:eastAsia="楷体_GB2312" w:cs="楷体_GB2312"/>
                <w:b/>
                <w:bCs/>
                <w:color w:val="auto"/>
                <w:kern w:val="0"/>
                <w:sz w:val="28"/>
                <w:szCs w:val="24"/>
                <w:u w:val="none"/>
                <w:lang w:val="en-US" w:eastAsia="zh-CN" w:bidi="ar-SA"/>
              </w:rPr>
              <w:t>专栏2-1：“十五五”经济社会发展主要指标</w:t>
            </w:r>
          </w:p>
        </w:tc>
      </w:tr>
      <w:tr w14:paraId="4BC13F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4006" w:type="dxa"/>
            <w:gridSpan w:val="2"/>
            <w:tcBorders>
              <w:tl2br w:val="nil"/>
              <w:tr2bl w:val="nil"/>
            </w:tcBorders>
            <w:vAlign w:val="center"/>
          </w:tcPr>
          <w:p w14:paraId="4F6A72B9">
            <w:pPr>
              <w:pStyle w:val="36"/>
              <w:widowControl w:val="0"/>
              <w:wordWrap/>
              <w:snapToGrid/>
              <w:spacing w:line="240" w:lineRule="auto"/>
              <w:jc w:val="center"/>
              <w:textAlignment w:val="auto"/>
              <w:rPr>
                <w:rFonts w:hint="eastAsia" w:ascii="仿宋" w:hAnsi="仿宋" w:eastAsia="仿宋" w:cs="仿宋"/>
                <w:b/>
                <w:bCs/>
                <w:color w:val="auto"/>
                <w:sz w:val="21"/>
                <w:szCs w:val="21"/>
              </w:rPr>
            </w:pPr>
            <w:r>
              <w:rPr>
                <w:rFonts w:hint="eastAsia" w:ascii="仿宋" w:hAnsi="仿宋" w:eastAsia="仿宋" w:cs="仿宋"/>
                <w:b/>
                <w:bCs/>
                <w:color w:val="auto"/>
                <w:sz w:val="21"/>
                <w:szCs w:val="21"/>
              </w:rPr>
              <w:t>指标（单位）</w:t>
            </w:r>
          </w:p>
        </w:tc>
        <w:tc>
          <w:tcPr>
            <w:tcW w:w="1350" w:type="dxa"/>
            <w:tcBorders>
              <w:tl2br w:val="nil"/>
              <w:tr2bl w:val="nil"/>
            </w:tcBorders>
            <w:vAlign w:val="center"/>
          </w:tcPr>
          <w:p w14:paraId="561309D6">
            <w:pPr>
              <w:pStyle w:val="36"/>
              <w:widowControl w:val="0"/>
              <w:wordWrap/>
              <w:snapToGrid/>
              <w:spacing w:line="240" w:lineRule="auto"/>
              <w:jc w:val="center"/>
              <w:textAlignment w:val="auto"/>
              <w:rPr>
                <w:rFonts w:hint="eastAsia" w:ascii="仿宋" w:hAnsi="仿宋" w:eastAsia="仿宋" w:cs="仿宋"/>
                <w:b/>
                <w:bCs/>
                <w:color w:val="auto"/>
                <w:sz w:val="21"/>
                <w:szCs w:val="21"/>
                <w:lang w:val="en-US" w:eastAsia="zh-CN"/>
              </w:rPr>
            </w:pPr>
            <w:r>
              <w:rPr>
                <w:rFonts w:hint="eastAsia" w:ascii="仿宋" w:hAnsi="仿宋" w:eastAsia="仿宋" w:cs="仿宋"/>
                <w:b/>
                <w:bCs/>
                <w:color w:val="auto"/>
                <w:sz w:val="21"/>
                <w:szCs w:val="21"/>
              </w:rPr>
              <w:t>202</w:t>
            </w:r>
            <w:r>
              <w:rPr>
                <w:rFonts w:hint="eastAsia" w:ascii="仿宋" w:hAnsi="仿宋" w:eastAsia="仿宋" w:cs="仿宋"/>
                <w:b/>
                <w:bCs/>
                <w:color w:val="auto"/>
                <w:sz w:val="21"/>
                <w:szCs w:val="21"/>
                <w:lang w:val="en-US" w:eastAsia="zh-CN"/>
              </w:rPr>
              <w:t>5</w:t>
            </w:r>
            <w:r>
              <w:rPr>
                <w:rFonts w:hint="eastAsia" w:ascii="仿宋" w:hAnsi="仿宋" w:eastAsia="仿宋" w:cs="仿宋"/>
                <w:b/>
                <w:bCs/>
                <w:color w:val="auto"/>
                <w:sz w:val="21"/>
                <w:szCs w:val="21"/>
              </w:rPr>
              <w:t>年</w:t>
            </w:r>
            <w:r>
              <w:rPr>
                <w:rFonts w:hint="eastAsia" w:ascii="仿宋" w:hAnsi="仿宋" w:eastAsia="仿宋" w:cs="仿宋"/>
                <w:b/>
                <w:bCs/>
                <w:color w:val="auto"/>
                <w:sz w:val="21"/>
                <w:szCs w:val="21"/>
                <w:lang w:val="en-US" w:eastAsia="zh-CN"/>
              </w:rPr>
              <w:t>基数</w:t>
            </w:r>
          </w:p>
        </w:tc>
        <w:tc>
          <w:tcPr>
            <w:tcW w:w="1395" w:type="dxa"/>
            <w:tcBorders>
              <w:tl2br w:val="nil"/>
              <w:tr2bl w:val="nil"/>
            </w:tcBorders>
            <w:vAlign w:val="center"/>
          </w:tcPr>
          <w:p w14:paraId="5FCB4351">
            <w:pPr>
              <w:pStyle w:val="36"/>
              <w:widowControl w:val="0"/>
              <w:wordWrap/>
              <w:snapToGrid/>
              <w:spacing w:line="240" w:lineRule="auto"/>
              <w:jc w:val="center"/>
              <w:textAlignment w:val="auto"/>
              <w:rPr>
                <w:rFonts w:hint="eastAsia" w:ascii="仿宋" w:hAnsi="仿宋" w:eastAsia="仿宋" w:cs="仿宋"/>
                <w:b/>
                <w:bCs/>
                <w:color w:val="auto"/>
                <w:sz w:val="21"/>
                <w:szCs w:val="21"/>
                <w:highlight w:val="none"/>
                <w:lang w:val="en-US" w:eastAsia="zh-CN"/>
              </w:rPr>
            </w:pPr>
            <w:r>
              <w:rPr>
                <w:rFonts w:hint="eastAsia" w:ascii="仿宋" w:hAnsi="仿宋" w:eastAsia="仿宋" w:cs="仿宋"/>
                <w:b/>
                <w:bCs/>
                <w:color w:val="auto"/>
                <w:sz w:val="21"/>
                <w:szCs w:val="21"/>
                <w:highlight w:val="none"/>
              </w:rPr>
              <w:t>20</w:t>
            </w:r>
            <w:r>
              <w:rPr>
                <w:rFonts w:hint="eastAsia" w:ascii="仿宋" w:hAnsi="仿宋" w:eastAsia="仿宋" w:cs="仿宋"/>
                <w:b/>
                <w:bCs/>
                <w:color w:val="auto"/>
                <w:sz w:val="21"/>
                <w:szCs w:val="21"/>
                <w:highlight w:val="none"/>
                <w:lang w:val="en-US" w:eastAsia="zh-CN"/>
              </w:rPr>
              <w:t>30</w:t>
            </w:r>
            <w:r>
              <w:rPr>
                <w:rFonts w:hint="eastAsia" w:ascii="仿宋" w:hAnsi="仿宋" w:eastAsia="仿宋" w:cs="仿宋"/>
                <w:b/>
                <w:bCs/>
                <w:color w:val="auto"/>
                <w:sz w:val="21"/>
                <w:szCs w:val="21"/>
                <w:highlight w:val="none"/>
              </w:rPr>
              <w:t>年</w:t>
            </w:r>
            <w:r>
              <w:rPr>
                <w:rFonts w:hint="eastAsia" w:ascii="仿宋" w:hAnsi="仿宋" w:eastAsia="仿宋" w:cs="仿宋"/>
                <w:b/>
                <w:bCs/>
                <w:color w:val="auto"/>
                <w:sz w:val="21"/>
                <w:szCs w:val="21"/>
                <w:highlight w:val="none"/>
                <w:lang w:val="en-US" w:eastAsia="zh-CN"/>
              </w:rPr>
              <w:t>目标</w:t>
            </w:r>
          </w:p>
        </w:tc>
        <w:tc>
          <w:tcPr>
            <w:tcW w:w="1320" w:type="dxa"/>
            <w:tcBorders>
              <w:tl2br w:val="nil"/>
              <w:tr2bl w:val="nil"/>
            </w:tcBorders>
            <w:vAlign w:val="center"/>
          </w:tcPr>
          <w:p w14:paraId="0CB78B7A">
            <w:pPr>
              <w:pStyle w:val="36"/>
              <w:widowControl w:val="0"/>
              <w:wordWrap/>
              <w:snapToGrid/>
              <w:spacing w:line="240" w:lineRule="auto"/>
              <w:jc w:val="center"/>
              <w:textAlignment w:val="auto"/>
              <w:rPr>
                <w:rFonts w:hint="default" w:ascii="仿宋" w:hAnsi="仿宋" w:eastAsia="仿宋" w:cs="仿宋"/>
                <w:b/>
                <w:bCs/>
                <w:color w:val="auto"/>
                <w:sz w:val="21"/>
                <w:szCs w:val="21"/>
                <w:highlight w:val="none"/>
                <w:lang w:val="en-US" w:eastAsia="zh-CN"/>
              </w:rPr>
            </w:pPr>
            <w:r>
              <w:rPr>
                <w:rFonts w:hint="eastAsia" w:ascii="仿宋" w:hAnsi="仿宋" w:eastAsia="仿宋" w:cs="仿宋"/>
                <w:b/>
                <w:bCs/>
                <w:color w:val="auto"/>
                <w:sz w:val="21"/>
                <w:szCs w:val="21"/>
                <w:highlight w:val="none"/>
                <w:lang w:val="en-US" w:eastAsia="zh-CN"/>
              </w:rPr>
              <w:t>五年</w:t>
            </w:r>
            <w:r>
              <w:rPr>
                <w:rFonts w:hint="eastAsia" w:ascii="仿宋" w:hAnsi="仿宋" w:eastAsia="仿宋" w:cs="仿宋"/>
                <w:b/>
                <w:bCs/>
                <w:color w:val="auto"/>
                <w:sz w:val="21"/>
                <w:szCs w:val="21"/>
                <w:highlight w:val="none"/>
              </w:rPr>
              <w:t>年均增</w:t>
            </w:r>
            <w:r>
              <w:rPr>
                <w:rFonts w:hint="eastAsia" w:ascii="仿宋" w:hAnsi="仿宋" w:eastAsia="仿宋" w:cs="仿宋"/>
                <w:b/>
                <w:bCs/>
                <w:color w:val="auto"/>
                <w:sz w:val="21"/>
                <w:szCs w:val="21"/>
                <w:highlight w:val="none"/>
                <w:lang w:val="en-US" w:eastAsia="zh-CN"/>
              </w:rPr>
              <w:t>长或累计</w:t>
            </w:r>
          </w:p>
        </w:tc>
        <w:tc>
          <w:tcPr>
            <w:tcW w:w="1065" w:type="dxa"/>
            <w:tcBorders>
              <w:tl2br w:val="nil"/>
              <w:tr2bl w:val="nil"/>
            </w:tcBorders>
            <w:vAlign w:val="center"/>
          </w:tcPr>
          <w:p w14:paraId="7659B6FC">
            <w:pPr>
              <w:pStyle w:val="36"/>
              <w:widowControl w:val="0"/>
              <w:wordWrap/>
              <w:snapToGrid/>
              <w:spacing w:line="240" w:lineRule="auto"/>
              <w:jc w:val="center"/>
              <w:textAlignment w:val="auto"/>
              <w:rPr>
                <w:rFonts w:hint="eastAsia" w:ascii="仿宋" w:hAnsi="仿宋" w:eastAsia="仿宋" w:cs="仿宋"/>
                <w:b/>
                <w:bCs/>
                <w:color w:val="auto"/>
                <w:sz w:val="21"/>
                <w:szCs w:val="21"/>
                <w:highlight w:val="none"/>
              </w:rPr>
            </w:pPr>
            <w:r>
              <w:rPr>
                <w:rFonts w:hint="eastAsia" w:ascii="仿宋" w:hAnsi="仿宋" w:eastAsia="仿宋" w:cs="仿宋"/>
                <w:b/>
                <w:bCs/>
                <w:color w:val="auto"/>
                <w:sz w:val="21"/>
                <w:szCs w:val="21"/>
                <w:highlight w:val="none"/>
                <w:lang w:val="en-US" w:eastAsia="zh-CN"/>
              </w:rPr>
              <w:t>指标属性</w:t>
            </w:r>
          </w:p>
        </w:tc>
      </w:tr>
      <w:tr w14:paraId="2AFEFA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9136" w:type="dxa"/>
            <w:gridSpan w:val="6"/>
            <w:tcBorders>
              <w:tl2br w:val="nil"/>
              <w:tr2bl w:val="nil"/>
            </w:tcBorders>
            <w:vAlign w:val="center"/>
          </w:tcPr>
          <w:p w14:paraId="1B53C1A4">
            <w:pPr>
              <w:pStyle w:val="36"/>
              <w:widowControl w:val="0"/>
              <w:wordWrap/>
              <w:snapToGrid/>
              <w:spacing w:line="240" w:lineRule="auto"/>
              <w:jc w:val="center"/>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b/>
                <w:bCs/>
                <w:color w:val="auto"/>
                <w:sz w:val="21"/>
                <w:szCs w:val="21"/>
                <w:lang w:val="en-US" w:eastAsia="zh-CN"/>
              </w:rPr>
              <w:t>一、经济发展</w:t>
            </w:r>
          </w:p>
        </w:tc>
      </w:tr>
      <w:tr w14:paraId="096575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4006" w:type="dxa"/>
            <w:gridSpan w:val="2"/>
            <w:tcBorders>
              <w:tl2br w:val="nil"/>
              <w:tr2bl w:val="nil"/>
            </w:tcBorders>
            <w:vAlign w:val="center"/>
          </w:tcPr>
          <w:p w14:paraId="68667FC5">
            <w:pPr>
              <w:pStyle w:val="36"/>
              <w:widowControl w:val="0"/>
              <w:wordWrap/>
              <w:snapToGrid/>
              <w:spacing w:line="240" w:lineRule="auto"/>
              <w:jc w:val="left"/>
              <w:textAlignment w:val="auto"/>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1.地区生产总值增速</w:t>
            </w:r>
            <w:r>
              <w:rPr>
                <w:rFonts w:hint="eastAsia" w:ascii="仿宋" w:hAnsi="仿宋" w:eastAsia="仿宋" w:cs="仿宋"/>
                <w:color w:val="auto"/>
                <w:sz w:val="21"/>
                <w:szCs w:val="21"/>
              </w:rPr>
              <w:t>（%）</w:t>
            </w:r>
          </w:p>
        </w:tc>
        <w:tc>
          <w:tcPr>
            <w:tcW w:w="1350" w:type="dxa"/>
            <w:tcBorders>
              <w:tl2br w:val="nil"/>
              <w:tr2bl w:val="nil"/>
            </w:tcBorders>
            <w:vAlign w:val="center"/>
          </w:tcPr>
          <w:p w14:paraId="2E67919D">
            <w:pPr>
              <w:pStyle w:val="36"/>
              <w:widowControl w:val="0"/>
              <w:wordWrap/>
              <w:snapToGrid/>
              <w:spacing w:line="240" w:lineRule="auto"/>
              <w:jc w:val="center"/>
              <w:textAlignment w:val="auto"/>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6.8</w:t>
            </w:r>
          </w:p>
        </w:tc>
        <w:tc>
          <w:tcPr>
            <w:tcW w:w="1395" w:type="dxa"/>
            <w:tcBorders>
              <w:tl2br w:val="nil"/>
              <w:tr2bl w:val="nil"/>
            </w:tcBorders>
            <w:vAlign w:val="center"/>
          </w:tcPr>
          <w:p w14:paraId="4BC9FA9A">
            <w:pPr>
              <w:pStyle w:val="36"/>
              <w:widowControl w:val="0"/>
              <w:wordWrap/>
              <w:snapToGrid/>
              <w:spacing w:line="240" w:lineRule="auto"/>
              <w:jc w:val="center"/>
              <w:textAlignment w:val="auto"/>
              <w:rPr>
                <w:rFonts w:hint="default"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预计380亿元</w:t>
            </w:r>
          </w:p>
        </w:tc>
        <w:tc>
          <w:tcPr>
            <w:tcW w:w="1320" w:type="dxa"/>
            <w:tcBorders>
              <w:tl2br w:val="nil"/>
              <w:tr2bl w:val="nil"/>
            </w:tcBorders>
            <w:vAlign w:val="center"/>
          </w:tcPr>
          <w:p w14:paraId="4B5654CA">
            <w:pPr>
              <w:pStyle w:val="36"/>
              <w:widowControl w:val="0"/>
              <w:wordWrap/>
              <w:snapToGrid/>
              <w:spacing w:line="240" w:lineRule="auto"/>
              <w:jc w:val="center"/>
              <w:textAlignment w:val="auto"/>
              <w:rPr>
                <w:rFonts w:hint="default"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5.6</w:t>
            </w:r>
          </w:p>
        </w:tc>
        <w:tc>
          <w:tcPr>
            <w:tcW w:w="1065" w:type="dxa"/>
            <w:tcBorders>
              <w:tl2br w:val="nil"/>
              <w:tr2bl w:val="nil"/>
            </w:tcBorders>
            <w:vAlign w:val="center"/>
          </w:tcPr>
          <w:p w14:paraId="58E66C82">
            <w:pPr>
              <w:pStyle w:val="36"/>
              <w:widowControl w:val="0"/>
              <w:wordWrap/>
              <w:snapToGrid/>
              <w:spacing w:line="240" w:lineRule="auto"/>
              <w:jc w:val="center"/>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预期性</w:t>
            </w:r>
          </w:p>
        </w:tc>
      </w:tr>
      <w:tr w14:paraId="55016D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7" w:hRule="atLeast"/>
          <w:jc w:val="center"/>
        </w:trPr>
        <w:tc>
          <w:tcPr>
            <w:tcW w:w="4006" w:type="dxa"/>
            <w:gridSpan w:val="2"/>
            <w:tcBorders>
              <w:tl2br w:val="nil"/>
              <w:tr2bl w:val="nil"/>
            </w:tcBorders>
            <w:vAlign w:val="center"/>
          </w:tcPr>
          <w:p w14:paraId="5FF0AA4B">
            <w:pPr>
              <w:pStyle w:val="36"/>
              <w:widowControl w:val="0"/>
              <w:wordWrap/>
              <w:snapToGrid/>
              <w:spacing w:line="240" w:lineRule="auto"/>
              <w:jc w:val="left"/>
              <w:textAlignment w:val="auto"/>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2.</w:t>
            </w:r>
            <w:r>
              <w:rPr>
                <w:rFonts w:hint="eastAsia" w:ascii="仿宋" w:hAnsi="仿宋" w:eastAsia="仿宋" w:cs="仿宋"/>
                <w:color w:val="auto"/>
                <w:sz w:val="21"/>
                <w:szCs w:val="21"/>
              </w:rPr>
              <w:t>全员劳动生产率</w:t>
            </w:r>
            <w:r>
              <w:rPr>
                <w:rFonts w:hint="eastAsia" w:ascii="仿宋" w:hAnsi="仿宋" w:eastAsia="仿宋" w:cs="仿宋"/>
                <w:color w:val="auto"/>
                <w:sz w:val="21"/>
                <w:szCs w:val="21"/>
                <w:lang w:val="en-US" w:eastAsia="zh-CN"/>
              </w:rPr>
              <w:t>增长</w:t>
            </w:r>
            <w:r>
              <w:rPr>
                <w:rFonts w:hint="eastAsia" w:ascii="仿宋" w:hAnsi="仿宋" w:eastAsia="仿宋" w:cs="仿宋"/>
                <w:color w:val="auto"/>
                <w:sz w:val="21"/>
                <w:szCs w:val="21"/>
                <w:lang w:eastAsia="zh-CN"/>
              </w:rPr>
              <w:t>（</w:t>
            </w:r>
            <w:r>
              <w:rPr>
                <w:rFonts w:hint="eastAsia" w:ascii="仿宋" w:hAnsi="仿宋" w:eastAsia="仿宋" w:cs="仿宋"/>
                <w:color w:val="auto"/>
                <w:sz w:val="21"/>
                <w:szCs w:val="21"/>
                <w:lang w:val="en-US" w:eastAsia="zh-CN"/>
              </w:rPr>
              <w:t>%</w:t>
            </w:r>
            <w:r>
              <w:rPr>
                <w:rFonts w:hint="eastAsia" w:ascii="仿宋" w:hAnsi="仿宋" w:eastAsia="仿宋" w:cs="仿宋"/>
                <w:color w:val="auto"/>
                <w:sz w:val="21"/>
                <w:szCs w:val="21"/>
                <w:lang w:eastAsia="zh-CN"/>
              </w:rPr>
              <w:t>）</w:t>
            </w:r>
          </w:p>
        </w:tc>
        <w:tc>
          <w:tcPr>
            <w:tcW w:w="1350" w:type="dxa"/>
            <w:tcBorders>
              <w:tl2br w:val="nil"/>
              <w:tr2bl w:val="nil"/>
            </w:tcBorders>
            <w:vAlign w:val="center"/>
          </w:tcPr>
          <w:p w14:paraId="5725DADF">
            <w:pPr>
              <w:pStyle w:val="36"/>
              <w:widowControl w:val="0"/>
              <w:wordWrap/>
              <w:snapToGrid/>
              <w:spacing w:line="240" w:lineRule="auto"/>
              <w:jc w:val="center"/>
              <w:textAlignment w:val="auto"/>
              <w:rPr>
                <w:rFonts w:hint="default" w:ascii="仿宋" w:hAnsi="仿宋" w:eastAsia="仿宋" w:cs="仿宋"/>
                <w:color w:val="auto"/>
                <w:sz w:val="21"/>
                <w:szCs w:val="21"/>
                <w:lang w:val="en-US" w:eastAsia="zh-CN"/>
              </w:rPr>
            </w:pPr>
            <w:r>
              <w:rPr>
                <w:rFonts w:hint="eastAsia" w:ascii="仿宋_GB2312" w:eastAsia="仿宋_GB2312"/>
                <w:color w:val="auto"/>
                <w:kern w:val="2"/>
                <w:sz w:val="21"/>
                <w:szCs w:val="22"/>
                <w:highlight w:val="none"/>
                <w:lang w:val="en-US" w:eastAsia="zh-CN" w:bidi="ar-SA"/>
              </w:rPr>
              <w:t>-</w:t>
            </w:r>
          </w:p>
        </w:tc>
        <w:tc>
          <w:tcPr>
            <w:tcW w:w="1395" w:type="dxa"/>
            <w:tcBorders>
              <w:tl2br w:val="nil"/>
              <w:tr2bl w:val="nil"/>
            </w:tcBorders>
            <w:vAlign w:val="center"/>
          </w:tcPr>
          <w:p w14:paraId="463FFD05">
            <w:pPr>
              <w:pStyle w:val="36"/>
              <w:widowControl w:val="0"/>
              <w:wordWrap/>
              <w:snapToGrid/>
              <w:spacing w:line="240" w:lineRule="auto"/>
              <w:jc w:val="center"/>
              <w:textAlignment w:val="auto"/>
              <w:rPr>
                <w:rFonts w:hint="default" w:ascii="仿宋" w:hAnsi="仿宋" w:eastAsia="仿宋" w:cs="仿宋"/>
                <w:color w:val="auto"/>
                <w:sz w:val="21"/>
                <w:szCs w:val="21"/>
                <w:highlight w:val="none"/>
                <w:lang w:val="en-US" w:eastAsia="zh-CN"/>
              </w:rPr>
            </w:pPr>
            <w:r>
              <w:rPr>
                <w:rFonts w:hint="eastAsia" w:ascii="仿宋_GB2312" w:eastAsia="仿宋_GB2312"/>
                <w:color w:val="auto"/>
                <w:kern w:val="2"/>
                <w:sz w:val="21"/>
                <w:szCs w:val="22"/>
                <w:highlight w:val="none"/>
                <w:lang w:val="en-US" w:eastAsia="zh-CN" w:bidi="ar-SA"/>
              </w:rPr>
              <w:t>-</w:t>
            </w:r>
          </w:p>
        </w:tc>
        <w:tc>
          <w:tcPr>
            <w:tcW w:w="1320" w:type="dxa"/>
            <w:tcBorders>
              <w:tl2br w:val="nil"/>
              <w:tr2bl w:val="nil"/>
            </w:tcBorders>
            <w:vAlign w:val="center"/>
          </w:tcPr>
          <w:p w14:paraId="7E12DD0C">
            <w:pPr>
              <w:pStyle w:val="36"/>
              <w:widowControl w:val="0"/>
              <w:wordWrap/>
              <w:snapToGrid/>
              <w:spacing w:line="240" w:lineRule="auto"/>
              <w:jc w:val="center"/>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高于经济</w:t>
            </w:r>
          </w:p>
          <w:p w14:paraId="1627D270">
            <w:pPr>
              <w:pStyle w:val="36"/>
              <w:widowControl w:val="0"/>
              <w:wordWrap/>
              <w:snapToGrid/>
              <w:spacing w:line="240" w:lineRule="auto"/>
              <w:jc w:val="center"/>
              <w:textAlignment w:val="auto"/>
              <w:rPr>
                <w:rFonts w:hint="default"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增长</w:t>
            </w:r>
          </w:p>
        </w:tc>
        <w:tc>
          <w:tcPr>
            <w:tcW w:w="1065" w:type="dxa"/>
            <w:tcBorders>
              <w:tl2br w:val="nil"/>
              <w:tr2bl w:val="nil"/>
            </w:tcBorders>
            <w:vAlign w:val="center"/>
          </w:tcPr>
          <w:p w14:paraId="3AA7EEAD">
            <w:pPr>
              <w:pStyle w:val="36"/>
              <w:widowControl w:val="0"/>
              <w:wordWrap/>
              <w:snapToGrid/>
              <w:spacing w:line="240" w:lineRule="auto"/>
              <w:jc w:val="center"/>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预期性</w:t>
            </w:r>
          </w:p>
        </w:tc>
      </w:tr>
      <w:tr w14:paraId="2D4C95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7" w:hRule="atLeast"/>
          <w:jc w:val="center"/>
        </w:trPr>
        <w:tc>
          <w:tcPr>
            <w:tcW w:w="4006" w:type="dxa"/>
            <w:gridSpan w:val="2"/>
            <w:tcBorders>
              <w:tl2br w:val="nil"/>
              <w:tr2bl w:val="nil"/>
            </w:tcBorders>
            <w:vAlign w:val="center"/>
          </w:tcPr>
          <w:p w14:paraId="38CAF566">
            <w:pPr>
              <w:pStyle w:val="36"/>
              <w:widowControl w:val="0"/>
              <w:wordWrap/>
              <w:snapToGrid/>
              <w:spacing w:line="240" w:lineRule="auto"/>
              <w:jc w:val="left"/>
              <w:textAlignment w:val="auto"/>
              <w:rPr>
                <w:rFonts w:hint="eastAsia" w:ascii="仿宋" w:hAnsi="仿宋" w:eastAsia="仿宋" w:cs="仿宋"/>
                <w:color w:val="auto"/>
                <w:kern w:val="0"/>
                <w:sz w:val="21"/>
                <w:szCs w:val="21"/>
                <w:lang w:val="en-US" w:eastAsia="zh-CN" w:bidi="ar-SA"/>
              </w:rPr>
            </w:pPr>
            <w:r>
              <w:rPr>
                <w:rFonts w:hint="eastAsia" w:ascii="仿宋" w:hAnsi="仿宋" w:eastAsia="仿宋" w:cs="仿宋"/>
                <w:color w:val="auto"/>
                <w:sz w:val="21"/>
                <w:szCs w:val="21"/>
                <w:lang w:val="en-US" w:eastAsia="zh-CN"/>
              </w:rPr>
              <w:t>3.常住</w:t>
            </w:r>
            <w:r>
              <w:rPr>
                <w:rFonts w:hint="eastAsia" w:ascii="仿宋" w:hAnsi="仿宋" w:eastAsia="仿宋" w:cs="仿宋"/>
                <w:color w:val="auto"/>
                <w:sz w:val="21"/>
                <w:szCs w:val="21"/>
              </w:rPr>
              <w:t>人口城镇化率（%）</w:t>
            </w:r>
          </w:p>
        </w:tc>
        <w:tc>
          <w:tcPr>
            <w:tcW w:w="1350" w:type="dxa"/>
            <w:tcBorders>
              <w:tl2br w:val="nil"/>
              <w:tr2bl w:val="nil"/>
            </w:tcBorders>
            <w:vAlign w:val="center"/>
          </w:tcPr>
          <w:p w14:paraId="70336DE5">
            <w:pPr>
              <w:pStyle w:val="36"/>
              <w:widowControl w:val="0"/>
              <w:wordWrap/>
              <w:snapToGrid/>
              <w:spacing w:line="240" w:lineRule="auto"/>
              <w:jc w:val="center"/>
              <w:textAlignment w:val="auto"/>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 w:val="21"/>
                <w:szCs w:val="21"/>
                <w:lang w:val="en-US" w:eastAsia="zh-CN" w:bidi="ar-SA"/>
              </w:rPr>
              <w:t>44.8</w:t>
            </w:r>
          </w:p>
        </w:tc>
        <w:tc>
          <w:tcPr>
            <w:tcW w:w="1395" w:type="dxa"/>
            <w:tcBorders>
              <w:tl2br w:val="nil"/>
              <w:tr2bl w:val="nil"/>
            </w:tcBorders>
            <w:vAlign w:val="center"/>
          </w:tcPr>
          <w:p w14:paraId="766151F1">
            <w:pPr>
              <w:pStyle w:val="36"/>
              <w:widowControl w:val="0"/>
              <w:wordWrap/>
              <w:snapToGrid/>
              <w:spacing w:line="240" w:lineRule="auto"/>
              <w:jc w:val="center"/>
              <w:textAlignment w:val="auto"/>
              <w:rPr>
                <w:rFonts w:hint="default" w:ascii="仿宋" w:hAnsi="仿宋" w:eastAsia="仿宋" w:cs="仿宋"/>
                <w:color w:val="auto"/>
                <w:kern w:val="0"/>
                <w:sz w:val="21"/>
                <w:szCs w:val="21"/>
                <w:highlight w:val="none"/>
                <w:lang w:val="en-US" w:eastAsia="zh-CN" w:bidi="ar-SA"/>
              </w:rPr>
            </w:pPr>
            <w:r>
              <w:rPr>
                <w:rFonts w:hint="eastAsia" w:ascii="仿宋" w:hAnsi="仿宋" w:eastAsia="仿宋" w:cs="仿宋"/>
                <w:color w:val="auto"/>
                <w:kern w:val="0"/>
                <w:sz w:val="21"/>
                <w:szCs w:val="21"/>
                <w:highlight w:val="none"/>
                <w:lang w:val="en-US" w:eastAsia="zh-CN" w:bidi="ar-SA"/>
              </w:rPr>
              <w:t>&gt;50</w:t>
            </w:r>
          </w:p>
        </w:tc>
        <w:tc>
          <w:tcPr>
            <w:tcW w:w="1320" w:type="dxa"/>
            <w:tcBorders>
              <w:tl2br w:val="nil"/>
              <w:tr2bl w:val="nil"/>
            </w:tcBorders>
            <w:vAlign w:val="center"/>
          </w:tcPr>
          <w:p w14:paraId="7D3B49CA">
            <w:pPr>
              <w:pStyle w:val="36"/>
              <w:widowControl w:val="0"/>
              <w:wordWrap/>
              <w:snapToGrid/>
              <w:spacing w:line="240" w:lineRule="auto"/>
              <w:jc w:val="center"/>
              <w:textAlignment w:val="auto"/>
              <w:rPr>
                <w:rFonts w:hint="default" w:ascii="仿宋" w:hAnsi="仿宋" w:eastAsia="仿宋" w:cs="仿宋"/>
                <w:color w:val="auto"/>
                <w:kern w:val="0"/>
                <w:sz w:val="21"/>
                <w:szCs w:val="21"/>
                <w:highlight w:val="none"/>
                <w:lang w:val="en-US" w:eastAsia="zh-CN" w:bidi="ar-SA"/>
              </w:rPr>
            </w:pPr>
            <w:r>
              <w:rPr>
                <w:rFonts w:hint="eastAsia" w:ascii="仿宋_GB2312" w:eastAsia="仿宋_GB2312"/>
                <w:color w:val="auto"/>
                <w:kern w:val="2"/>
                <w:sz w:val="21"/>
                <w:szCs w:val="22"/>
                <w:highlight w:val="none"/>
                <w:lang w:val="en-US" w:eastAsia="zh-CN" w:bidi="ar-SA"/>
              </w:rPr>
              <w:t>-</w:t>
            </w:r>
          </w:p>
        </w:tc>
        <w:tc>
          <w:tcPr>
            <w:tcW w:w="1065" w:type="dxa"/>
            <w:tcBorders>
              <w:tl2br w:val="nil"/>
              <w:tr2bl w:val="nil"/>
            </w:tcBorders>
            <w:vAlign w:val="center"/>
          </w:tcPr>
          <w:p w14:paraId="09E912A5">
            <w:pPr>
              <w:pStyle w:val="36"/>
              <w:widowControl w:val="0"/>
              <w:wordWrap/>
              <w:snapToGrid/>
              <w:spacing w:line="240" w:lineRule="auto"/>
              <w:jc w:val="center"/>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预期性</w:t>
            </w:r>
          </w:p>
        </w:tc>
      </w:tr>
      <w:tr w14:paraId="7E7EC1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006" w:type="dxa"/>
            <w:gridSpan w:val="2"/>
            <w:tcBorders>
              <w:tl2br w:val="nil"/>
              <w:tr2bl w:val="nil"/>
            </w:tcBorders>
            <w:vAlign w:val="center"/>
          </w:tcPr>
          <w:p w14:paraId="7BB72120">
            <w:pPr>
              <w:wordWrap/>
              <w:snapToGrid/>
              <w:spacing w:line="240" w:lineRule="auto"/>
              <w:jc w:val="left"/>
              <w:textAlignment w:val="auto"/>
              <w:rPr>
                <w:rFonts w:hint="eastAsia" w:ascii="仿宋_GB2312" w:eastAsia="仿宋_GB2312"/>
                <w:color w:val="auto"/>
                <w:kern w:val="2"/>
                <w:sz w:val="21"/>
                <w:szCs w:val="22"/>
                <w:lang w:val="en-US" w:eastAsia="zh-CN" w:bidi="ar-SA"/>
              </w:rPr>
            </w:pPr>
            <w:r>
              <w:rPr>
                <w:rFonts w:hint="eastAsia" w:ascii="仿宋_GB2312" w:eastAsia="仿宋_GB2312"/>
                <w:color w:val="auto"/>
                <w:lang w:val="en-US" w:eastAsia="zh-CN"/>
              </w:rPr>
              <w:t>4.社会消费品零售总额增长</w:t>
            </w:r>
            <w:r>
              <w:rPr>
                <w:rFonts w:hint="eastAsia" w:ascii="仿宋_GB2312" w:eastAsia="仿宋_GB2312"/>
                <w:color w:val="auto"/>
                <w:highlight w:val="none"/>
              </w:rPr>
              <w:t>(</w:t>
            </w:r>
            <w:r>
              <w:rPr>
                <w:rFonts w:hint="eastAsia" w:ascii="仿宋" w:hAnsi="仿宋" w:eastAsia="仿宋" w:cs="仿宋"/>
                <w:color w:val="auto"/>
                <w:sz w:val="21"/>
                <w:szCs w:val="21"/>
              </w:rPr>
              <w:t>%</w:t>
            </w:r>
            <w:r>
              <w:rPr>
                <w:rFonts w:hint="eastAsia" w:ascii="仿宋_GB2312" w:eastAsia="仿宋_GB2312"/>
                <w:color w:val="auto"/>
                <w:highlight w:val="none"/>
              </w:rPr>
              <w:t>)</w:t>
            </w:r>
          </w:p>
        </w:tc>
        <w:tc>
          <w:tcPr>
            <w:tcW w:w="1350" w:type="dxa"/>
            <w:tcBorders>
              <w:tl2br w:val="nil"/>
              <w:tr2bl w:val="nil"/>
            </w:tcBorders>
            <w:vAlign w:val="center"/>
          </w:tcPr>
          <w:p w14:paraId="65CA2891">
            <w:pPr>
              <w:wordWrap/>
              <w:snapToGrid/>
              <w:spacing w:line="240" w:lineRule="auto"/>
              <w:jc w:val="center"/>
              <w:textAlignment w:val="auto"/>
              <w:rPr>
                <w:rFonts w:hint="default" w:ascii="仿宋_GB2312" w:eastAsia="仿宋_GB2312"/>
                <w:color w:val="auto"/>
                <w:kern w:val="2"/>
                <w:sz w:val="21"/>
                <w:szCs w:val="22"/>
                <w:lang w:val="en-US" w:eastAsia="zh-CN" w:bidi="ar-SA"/>
              </w:rPr>
            </w:pPr>
            <w:r>
              <w:rPr>
                <w:rFonts w:hint="eastAsia" w:ascii="仿宋_GB2312" w:eastAsia="仿宋_GB2312"/>
                <w:color w:val="auto"/>
                <w:kern w:val="2"/>
                <w:sz w:val="21"/>
                <w:szCs w:val="22"/>
                <w:lang w:val="en-US" w:eastAsia="zh-CN" w:bidi="ar-SA"/>
              </w:rPr>
              <w:t>6.1</w:t>
            </w:r>
          </w:p>
        </w:tc>
        <w:tc>
          <w:tcPr>
            <w:tcW w:w="1395" w:type="dxa"/>
            <w:tcBorders>
              <w:tl2br w:val="nil"/>
              <w:tr2bl w:val="nil"/>
            </w:tcBorders>
            <w:vAlign w:val="center"/>
          </w:tcPr>
          <w:p w14:paraId="03E5D0A9">
            <w:pPr>
              <w:wordWrap/>
              <w:snapToGrid/>
              <w:spacing w:line="240" w:lineRule="auto"/>
              <w:jc w:val="center"/>
              <w:textAlignment w:val="auto"/>
              <w:rPr>
                <w:rFonts w:hint="default" w:ascii="仿宋_GB2312" w:eastAsia="仿宋_GB2312"/>
                <w:color w:val="auto"/>
                <w:kern w:val="2"/>
                <w:sz w:val="21"/>
                <w:szCs w:val="22"/>
                <w:highlight w:val="none"/>
                <w:lang w:val="en-US" w:eastAsia="zh-CN" w:bidi="ar-SA"/>
              </w:rPr>
            </w:pPr>
            <w:r>
              <w:rPr>
                <w:rFonts w:hint="eastAsia" w:ascii="仿宋_GB2312" w:eastAsia="仿宋_GB2312"/>
                <w:color w:val="auto"/>
                <w:kern w:val="2"/>
                <w:sz w:val="21"/>
                <w:szCs w:val="22"/>
                <w:highlight w:val="none"/>
                <w:lang w:val="en-US" w:eastAsia="zh-CN" w:bidi="ar-SA"/>
              </w:rPr>
              <w:t>-</w:t>
            </w:r>
          </w:p>
        </w:tc>
        <w:tc>
          <w:tcPr>
            <w:tcW w:w="1320" w:type="dxa"/>
            <w:tcBorders>
              <w:tl2br w:val="nil"/>
              <w:tr2bl w:val="nil"/>
            </w:tcBorders>
            <w:vAlign w:val="center"/>
          </w:tcPr>
          <w:p w14:paraId="18E2EEEB">
            <w:pPr>
              <w:pStyle w:val="36"/>
              <w:widowControl w:val="0"/>
              <w:wordWrap/>
              <w:snapToGrid/>
              <w:spacing w:line="240" w:lineRule="auto"/>
              <w:jc w:val="center"/>
              <w:textAlignment w:val="auto"/>
              <w:rPr>
                <w:rFonts w:hint="default"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6.1左右</w:t>
            </w:r>
          </w:p>
        </w:tc>
        <w:tc>
          <w:tcPr>
            <w:tcW w:w="1065" w:type="dxa"/>
            <w:tcBorders>
              <w:tl2br w:val="nil"/>
              <w:tr2bl w:val="nil"/>
            </w:tcBorders>
            <w:vAlign w:val="center"/>
          </w:tcPr>
          <w:p w14:paraId="787BB2D9">
            <w:pPr>
              <w:pStyle w:val="36"/>
              <w:widowControl w:val="0"/>
              <w:wordWrap/>
              <w:snapToGrid/>
              <w:spacing w:line="240" w:lineRule="auto"/>
              <w:jc w:val="center"/>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预期性</w:t>
            </w:r>
          </w:p>
        </w:tc>
      </w:tr>
      <w:tr w14:paraId="31032E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36" w:type="dxa"/>
            <w:gridSpan w:val="6"/>
            <w:tcBorders>
              <w:tl2br w:val="nil"/>
              <w:tr2bl w:val="nil"/>
            </w:tcBorders>
            <w:vAlign w:val="center"/>
          </w:tcPr>
          <w:p w14:paraId="13F25D96">
            <w:pPr>
              <w:pStyle w:val="36"/>
              <w:widowControl w:val="0"/>
              <w:wordWrap/>
              <w:snapToGrid/>
              <w:spacing w:line="240" w:lineRule="auto"/>
              <w:jc w:val="center"/>
              <w:textAlignment w:val="auto"/>
              <w:rPr>
                <w:rFonts w:hint="eastAsia" w:ascii="仿宋" w:hAnsi="仿宋" w:eastAsia="仿宋" w:cs="仿宋"/>
                <w:b/>
                <w:bCs/>
                <w:color w:val="auto"/>
                <w:sz w:val="21"/>
                <w:szCs w:val="21"/>
                <w:highlight w:val="none"/>
                <w:lang w:val="en-US" w:eastAsia="zh-CN"/>
              </w:rPr>
            </w:pPr>
            <w:r>
              <w:rPr>
                <w:rFonts w:hint="eastAsia" w:ascii="仿宋" w:hAnsi="仿宋" w:eastAsia="仿宋" w:cs="仿宋"/>
                <w:b/>
                <w:bCs/>
                <w:color w:val="auto"/>
                <w:sz w:val="21"/>
                <w:szCs w:val="21"/>
                <w:lang w:val="en-US" w:eastAsia="zh-CN"/>
              </w:rPr>
              <w:t>二、创新驱动</w:t>
            </w:r>
          </w:p>
        </w:tc>
      </w:tr>
      <w:tr w14:paraId="5FE6FA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006" w:type="dxa"/>
            <w:gridSpan w:val="2"/>
            <w:tcBorders>
              <w:tl2br w:val="nil"/>
              <w:tr2bl w:val="nil"/>
            </w:tcBorders>
            <w:vAlign w:val="center"/>
          </w:tcPr>
          <w:p w14:paraId="1344FF42">
            <w:pPr>
              <w:pStyle w:val="36"/>
              <w:widowControl w:val="0"/>
              <w:wordWrap/>
              <w:snapToGrid/>
              <w:spacing w:line="240" w:lineRule="auto"/>
              <w:jc w:val="left"/>
              <w:textAlignment w:val="auto"/>
              <w:rPr>
                <w:rFonts w:hint="eastAsia" w:ascii="仿宋" w:hAnsi="仿宋" w:eastAsia="仿宋" w:cs="仿宋"/>
                <w:color w:val="auto"/>
                <w:sz w:val="21"/>
                <w:szCs w:val="21"/>
                <w:lang w:eastAsia="zh-CN"/>
              </w:rPr>
            </w:pPr>
            <w:r>
              <w:rPr>
                <w:rFonts w:hint="eastAsia" w:ascii="仿宋" w:hAnsi="仿宋" w:eastAsia="仿宋" w:cs="仿宋"/>
                <w:color w:val="auto"/>
                <w:sz w:val="21"/>
                <w:szCs w:val="21"/>
                <w:lang w:val="en-US" w:eastAsia="zh-CN"/>
              </w:rPr>
              <w:t>5.研发经费投入强度增长</w:t>
            </w:r>
            <w:r>
              <w:rPr>
                <w:rFonts w:hint="eastAsia" w:ascii="仿宋" w:hAnsi="仿宋" w:eastAsia="仿宋" w:cs="仿宋"/>
                <w:color w:val="auto"/>
                <w:sz w:val="21"/>
                <w:szCs w:val="21"/>
                <w:lang w:eastAsia="zh-CN"/>
              </w:rPr>
              <w:t>（</w:t>
            </w:r>
            <w:r>
              <w:rPr>
                <w:rFonts w:hint="eastAsia" w:ascii="仿宋" w:hAnsi="仿宋" w:eastAsia="仿宋" w:cs="仿宋"/>
                <w:color w:val="auto"/>
                <w:sz w:val="21"/>
                <w:szCs w:val="21"/>
                <w:lang w:val="en-US" w:eastAsia="zh-CN"/>
              </w:rPr>
              <w:t>%</w:t>
            </w:r>
            <w:r>
              <w:rPr>
                <w:rFonts w:hint="eastAsia" w:ascii="仿宋" w:hAnsi="仿宋" w:eastAsia="仿宋" w:cs="仿宋"/>
                <w:color w:val="auto"/>
                <w:sz w:val="21"/>
                <w:szCs w:val="21"/>
                <w:lang w:eastAsia="zh-CN"/>
              </w:rPr>
              <w:t>）</w:t>
            </w:r>
          </w:p>
        </w:tc>
        <w:tc>
          <w:tcPr>
            <w:tcW w:w="1350" w:type="dxa"/>
            <w:tcBorders>
              <w:tl2br w:val="nil"/>
              <w:tr2bl w:val="nil"/>
            </w:tcBorders>
            <w:vAlign w:val="center"/>
          </w:tcPr>
          <w:p w14:paraId="65D5653B">
            <w:pPr>
              <w:widowControl w:val="0"/>
              <w:wordWrap/>
              <w:snapToGrid/>
              <w:spacing w:line="240" w:lineRule="auto"/>
              <w:jc w:val="center"/>
              <w:textAlignment w:val="auto"/>
              <w:rPr>
                <w:rFonts w:hint="default" w:ascii="仿宋" w:hAnsi="仿宋" w:eastAsia="仿宋" w:cs="仿宋"/>
                <w:color w:val="auto"/>
                <w:sz w:val="21"/>
                <w:szCs w:val="21"/>
                <w:lang w:val="en-US" w:eastAsia="zh-CN"/>
              </w:rPr>
            </w:pPr>
            <w:r>
              <w:rPr>
                <w:rFonts w:hint="eastAsia" w:ascii="仿宋_GB2312" w:eastAsia="仿宋_GB2312"/>
                <w:color w:val="auto"/>
                <w:kern w:val="2"/>
                <w:sz w:val="21"/>
                <w:szCs w:val="22"/>
                <w:highlight w:val="none"/>
                <w:lang w:val="en-US" w:eastAsia="zh-CN" w:bidi="ar-SA"/>
              </w:rPr>
              <w:t>-</w:t>
            </w:r>
          </w:p>
        </w:tc>
        <w:tc>
          <w:tcPr>
            <w:tcW w:w="1395" w:type="dxa"/>
            <w:tcBorders>
              <w:tl2br w:val="nil"/>
              <w:tr2bl w:val="nil"/>
            </w:tcBorders>
            <w:vAlign w:val="center"/>
          </w:tcPr>
          <w:p w14:paraId="5A7BA443">
            <w:pPr>
              <w:widowControl w:val="0"/>
              <w:wordWrap/>
              <w:snapToGrid/>
              <w:spacing w:line="240" w:lineRule="auto"/>
              <w:jc w:val="center"/>
              <w:textAlignment w:val="auto"/>
              <w:rPr>
                <w:rFonts w:hint="eastAsia" w:ascii="仿宋" w:hAnsi="仿宋" w:eastAsia="仿宋" w:cs="仿宋"/>
                <w:color w:val="auto"/>
                <w:sz w:val="21"/>
                <w:szCs w:val="21"/>
                <w:highlight w:val="none"/>
                <w:lang w:val="en-US" w:eastAsia="zh-CN"/>
              </w:rPr>
            </w:pPr>
            <w:r>
              <w:rPr>
                <w:rFonts w:hint="eastAsia" w:ascii="仿宋_GB2312" w:eastAsia="仿宋_GB2312"/>
                <w:color w:val="auto"/>
                <w:kern w:val="2"/>
                <w:sz w:val="21"/>
                <w:szCs w:val="22"/>
                <w:highlight w:val="none"/>
                <w:lang w:val="en-US" w:eastAsia="zh-CN" w:bidi="ar-SA"/>
              </w:rPr>
              <w:t>-</w:t>
            </w:r>
          </w:p>
        </w:tc>
        <w:tc>
          <w:tcPr>
            <w:tcW w:w="1320" w:type="dxa"/>
            <w:tcBorders>
              <w:tl2br w:val="nil"/>
              <w:tr2bl w:val="nil"/>
            </w:tcBorders>
            <w:vAlign w:val="center"/>
          </w:tcPr>
          <w:p w14:paraId="59113E5D">
            <w:pPr>
              <w:pStyle w:val="36"/>
              <w:widowControl w:val="0"/>
              <w:wordWrap/>
              <w:snapToGrid/>
              <w:spacing w:line="240" w:lineRule="auto"/>
              <w:jc w:val="center"/>
              <w:textAlignment w:val="auto"/>
              <w:rPr>
                <w:rFonts w:hint="default" w:ascii="仿宋" w:hAnsi="仿宋" w:eastAsia="仿宋" w:cs="仿宋"/>
                <w:color w:val="auto"/>
                <w:sz w:val="21"/>
                <w:szCs w:val="21"/>
                <w:highlight w:val="none"/>
                <w:lang w:val="en-US" w:eastAsia="zh-CN"/>
              </w:rPr>
            </w:pPr>
            <w:r>
              <w:rPr>
                <w:rFonts w:hint="eastAsia" w:ascii="仿宋" w:hAnsi="仿宋" w:eastAsia="仿宋" w:cs="仿宋"/>
                <w:color w:val="auto"/>
                <w:kern w:val="0"/>
                <w:sz w:val="21"/>
                <w:szCs w:val="21"/>
                <w:highlight w:val="none"/>
                <w:lang w:val="en-US" w:eastAsia="zh-CN" w:bidi="ar-SA"/>
              </w:rPr>
              <w:t>&gt;1.8</w:t>
            </w:r>
          </w:p>
        </w:tc>
        <w:tc>
          <w:tcPr>
            <w:tcW w:w="1065" w:type="dxa"/>
            <w:tcBorders>
              <w:tl2br w:val="nil"/>
              <w:tr2bl w:val="nil"/>
            </w:tcBorders>
            <w:vAlign w:val="center"/>
          </w:tcPr>
          <w:p w14:paraId="2C8BEADE">
            <w:pPr>
              <w:pStyle w:val="36"/>
              <w:widowControl w:val="0"/>
              <w:wordWrap/>
              <w:snapToGrid/>
              <w:spacing w:line="240" w:lineRule="auto"/>
              <w:jc w:val="center"/>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预期性</w:t>
            </w:r>
          </w:p>
        </w:tc>
      </w:tr>
      <w:tr w14:paraId="70A71B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006" w:type="dxa"/>
            <w:gridSpan w:val="2"/>
            <w:tcBorders>
              <w:tl2br w:val="nil"/>
              <w:tr2bl w:val="nil"/>
            </w:tcBorders>
            <w:vAlign w:val="center"/>
          </w:tcPr>
          <w:p w14:paraId="45D1CEEB">
            <w:pPr>
              <w:pStyle w:val="36"/>
              <w:widowControl w:val="0"/>
              <w:wordWrap/>
              <w:snapToGrid/>
              <w:spacing w:line="240" w:lineRule="auto"/>
              <w:jc w:val="left"/>
              <w:textAlignment w:val="auto"/>
              <w:rPr>
                <w:rFonts w:hint="eastAsia" w:ascii="仿宋" w:hAnsi="仿宋" w:eastAsia="仿宋" w:cs="仿宋"/>
                <w:color w:val="auto"/>
                <w:sz w:val="21"/>
                <w:szCs w:val="21"/>
                <w:lang w:eastAsia="zh-CN"/>
              </w:rPr>
            </w:pPr>
            <w:r>
              <w:rPr>
                <w:rFonts w:hint="eastAsia" w:ascii="仿宋" w:hAnsi="仿宋" w:eastAsia="仿宋" w:cs="仿宋"/>
                <w:color w:val="auto"/>
                <w:sz w:val="21"/>
                <w:szCs w:val="21"/>
                <w:lang w:val="en-US" w:eastAsia="zh-CN"/>
              </w:rPr>
              <w:t>6.技术合同成交额</w:t>
            </w:r>
            <w:r>
              <w:rPr>
                <w:rFonts w:hint="eastAsia" w:ascii="仿宋" w:hAnsi="仿宋" w:eastAsia="仿宋" w:cs="仿宋"/>
                <w:color w:val="auto"/>
                <w:sz w:val="21"/>
                <w:szCs w:val="21"/>
                <w:lang w:eastAsia="zh-CN"/>
              </w:rPr>
              <w:t>（</w:t>
            </w:r>
            <w:r>
              <w:rPr>
                <w:rFonts w:hint="eastAsia" w:ascii="仿宋" w:hAnsi="仿宋" w:eastAsia="仿宋" w:cs="仿宋"/>
                <w:color w:val="auto"/>
                <w:sz w:val="21"/>
                <w:szCs w:val="21"/>
                <w:lang w:val="en-US" w:eastAsia="zh-CN"/>
              </w:rPr>
              <w:t>亿元</w:t>
            </w:r>
            <w:r>
              <w:rPr>
                <w:rFonts w:hint="eastAsia" w:ascii="仿宋" w:hAnsi="仿宋" w:eastAsia="仿宋" w:cs="仿宋"/>
                <w:color w:val="auto"/>
                <w:sz w:val="21"/>
                <w:szCs w:val="21"/>
                <w:lang w:eastAsia="zh-CN"/>
              </w:rPr>
              <w:t>）</w:t>
            </w:r>
          </w:p>
        </w:tc>
        <w:tc>
          <w:tcPr>
            <w:tcW w:w="1350" w:type="dxa"/>
            <w:tcBorders>
              <w:tl2br w:val="nil"/>
              <w:tr2bl w:val="nil"/>
            </w:tcBorders>
            <w:vAlign w:val="center"/>
          </w:tcPr>
          <w:p w14:paraId="3D8FA57B">
            <w:pPr>
              <w:widowControl w:val="0"/>
              <w:wordWrap/>
              <w:snapToGrid/>
              <w:spacing w:line="240" w:lineRule="auto"/>
              <w:jc w:val="center"/>
              <w:textAlignment w:val="auto"/>
              <w:rPr>
                <w:rFonts w:hint="default" w:ascii="仿宋" w:hAnsi="仿宋" w:eastAsia="仿宋" w:cs="仿宋"/>
                <w:color w:val="auto"/>
                <w:sz w:val="21"/>
                <w:szCs w:val="21"/>
                <w:lang w:val="en-US" w:eastAsia="zh-CN"/>
              </w:rPr>
            </w:pPr>
            <w:r>
              <w:rPr>
                <w:rFonts w:hint="eastAsia" w:ascii="仿宋_GB2312" w:eastAsia="仿宋_GB2312"/>
                <w:color w:val="auto"/>
                <w:kern w:val="2"/>
                <w:sz w:val="21"/>
                <w:szCs w:val="22"/>
                <w:highlight w:val="none"/>
                <w:lang w:val="en-US" w:eastAsia="zh-CN" w:bidi="ar-SA"/>
              </w:rPr>
              <w:t>-</w:t>
            </w:r>
          </w:p>
        </w:tc>
        <w:tc>
          <w:tcPr>
            <w:tcW w:w="1395" w:type="dxa"/>
            <w:tcBorders>
              <w:tl2br w:val="nil"/>
              <w:tr2bl w:val="nil"/>
            </w:tcBorders>
            <w:vAlign w:val="center"/>
          </w:tcPr>
          <w:p w14:paraId="16E80B46">
            <w:pPr>
              <w:widowControl w:val="0"/>
              <w:wordWrap/>
              <w:snapToGrid/>
              <w:spacing w:line="240" w:lineRule="auto"/>
              <w:jc w:val="center"/>
              <w:textAlignment w:val="auto"/>
              <w:rPr>
                <w:rFonts w:hint="default" w:ascii="仿宋" w:hAnsi="仿宋" w:eastAsia="仿宋" w:cs="仿宋"/>
                <w:color w:val="auto"/>
                <w:sz w:val="21"/>
                <w:szCs w:val="21"/>
                <w:highlight w:val="none"/>
                <w:lang w:val="en-US" w:eastAsia="zh-CN"/>
              </w:rPr>
            </w:pPr>
            <w:r>
              <w:rPr>
                <w:rFonts w:hint="eastAsia" w:ascii="仿宋_GB2312" w:eastAsia="仿宋_GB2312"/>
                <w:color w:val="auto"/>
                <w:kern w:val="2"/>
                <w:sz w:val="21"/>
                <w:szCs w:val="22"/>
                <w:highlight w:val="none"/>
                <w:lang w:val="en-US" w:eastAsia="zh-CN" w:bidi="ar-SA"/>
              </w:rPr>
              <w:t>-</w:t>
            </w:r>
          </w:p>
        </w:tc>
        <w:tc>
          <w:tcPr>
            <w:tcW w:w="1320" w:type="dxa"/>
            <w:tcBorders>
              <w:tl2br w:val="nil"/>
              <w:tr2bl w:val="nil"/>
            </w:tcBorders>
            <w:vAlign w:val="center"/>
          </w:tcPr>
          <w:p w14:paraId="5861B7D1">
            <w:pPr>
              <w:pStyle w:val="36"/>
              <w:widowControl w:val="0"/>
              <w:wordWrap/>
              <w:snapToGrid/>
              <w:spacing w:line="240" w:lineRule="auto"/>
              <w:jc w:val="center"/>
              <w:textAlignment w:val="auto"/>
              <w:rPr>
                <w:rFonts w:hint="default" w:ascii="仿宋" w:hAnsi="仿宋" w:eastAsia="仿宋" w:cs="仿宋"/>
                <w:color w:val="auto"/>
                <w:sz w:val="21"/>
                <w:szCs w:val="21"/>
                <w:highlight w:val="none"/>
                <w:lang w:val="en-US"/>
              </w:rPr>
            </w:pPr>
            <w:r>
              <w:rPr>
                <w:rFonts w:hint="eastAsia" w:ascii="仿宋" w:hAnsi="仿宋" w:eastAsia="仿宋" w:cs="仿宋"/>
                <w:color w:val="auto"/>
                <w:kern w:val="0"/>
                <w:sz w:val="21"/>
                <w:szCs w:val="21"/>
                <w:highlight w:val="none"/>
                <w:lang w:val="en-US" w:eastAsia="zh-CN" w:bidi="ar-SA"/>
              </w:rPr>
              <w:t>&gt;15</w:t>
            </w:r>
          </w:p>
        </w:tc>
        <w:tc>
          <w:tcPr>
            <w:tcW w:w="1065" w:type="dxa"/>
            <w:tcBorders>
              <w:tl2br w:val="nil"/>
              <w:tr2bl w:val="nil"/>
            </w:tcBorders>
            <w:vAlign w:val="center"/>
          </w:tcPr>
          <w:p w14:paraId="12B93FB0">
            <w:pPr>
              <w:pStyle w:val="36"/>
              <w:widowControl w:val="0"/>
              <w:wordWrap/>
              <w:snapToGrid/>
              <w:spacing w:line="240" w:lineRule="auto"/>
              <w:jc w:val="center"/>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预期性</w:t>
            </w:r>
          </w:p>
        </w:tc>
      </w:tr>
      <w:tr w14:paraId="7F1DBB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006" w:type="dxa"/>
            <w:gridSpan w:val="2"/>
            <w:tcBorders>
              <w:tl2br w:val="nil"/>
              <w:tr2bl w:val="nil"/>
            </w:tcBorders>
            <w:vAlign w:val="center"/>
          </w:tcPr>
          <w:p w14:paraId="7448DE99">
            <w:pPr>
              <w:pStyle w:val="36"/>
              <w:widowControl w:val="0"/>
              <w:wordWrap/>
              <w:snapToGrid/>
              <w:spacing w:line="240" w:lineRule="auto"/>
              <w:jc w:val="left"/>
              <w:textAlignment w:val="auto"/>
              <w:rPr>
                <w:rFonts w:hint="eastAsia" w:ascii="仿宋" w:hAnsi="仿宋" w:eastAsia="仿宋" w:cs="仿宋"/>
                <w:color w:val="auto"/>
                <w:sz w:val="21"/>
                <w:szCs w:val="21"/>
                <w:lang w:eastAsia="zh-CN"/>
              </w:rPr>
            </w:pPr>
            <w:r>
              <w:rPr>
                <w:rFonts w:hint="eastAsia" w:ascii="仿宋" w:hAnsi="仿宋" w:eastAsia="仿宋" w:cs="仿宋"/>
                <w:color w:val="auto"/>
                <w:sz w:val="21"/>
                <w:szCs w:val="21"/>
                <w:lang w:val="en-US" w:eastAsia="zh-CN"/>
              </w:rPr>
              <w:t>7.每万人口高价值发明专利拥有量</w:t>
            </w:r>
            <w:r>
              <w:rPr>
                <w:rFonts w:hint="eastAsia" w:ascii="仿宋" w:hAnsi="仿宋" w:eastAsia="仿宋" w:cs="仿宋"/>
                <w:color w:val="auto"/>
                <w:sz w:val="21"/>
                <w:szCs w:val="21"/>
                <w:lang w:eastAsia="zh-CN"/>
              </w:rPr>
              <w:t>（</w:t>
            </w:r>
            <w:r>
              <w:rPr>
                <w:rFonts w:hint="eastAsia" w:ascii="仿宋" w:hAnsi="仿宋" w:eastAsia="仿宋" w:cs="仿宋"/>
                <w:color w:val="auto"/>
                <w:sz w:val="21"/>
                <w:szCs w:val="21"/>
                <w:lang w:val="en-US" w:eastAsia="zh-CN"/>
              </w:rPr>
              <w:t>件</w:t>
            </w:r>
            <w:r>
              <w:rPr>
                <w:rFonts w:hint="eastAsia" w:ascii="仿宋" w:hAnsi="仿宋" w:eastAsia="仿宋" w:cs="仿宋"/>
                <w:color w:val="auto"/>
                <w:sz w:val="21"/>
                <w:szCs w:val="21"/>
                <w:lang w:eastAsia="zh-CN"/>
              </w:rPr>
              <w:t>）</w:t>
            </w:r>
          </w:p>
        </w:tc>
        <w:tc>
          <w:tcPr>
            <w:tcW w:w="1350" w:type="dxa"/>
            <w:tcBorders>
              <w:tl2br w:val="nil"/>
              <w:tr2bl w:val="nil"/>
            </w:tcBorders>
            <w:vAlign w:val="center"/>
          </w:tcPr>
          <w:p w14:paraId="66A5C074">
            <w:pPr>
              <w:widowControl w:val="0"/>
              <w:wordWrap/>
              <w:snapToGrid/>
              <w:spacing w:line="240" w:lineRule="auto"/>
              <w:jc w:val="center"/>
              <w:textAlignment w:val="auto"/>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0.019</w:t>
            </w:r>
          </w:p>
        </w:tc>
        <w:tc>
          <w:tcPr>
            <w:tcW w:w="1395" w:type="dxa"/>
            <w:tcBorders>
              <w:tl2br w:val="nil"/>
              <w:tr2bl w:val="nil"/>
            </w:tcBorders>
            <w:vAlign w:val="center"/>
          </w:tcPr>
          <w:p w14:paraId="45B083CE">
            <w:pPr>
              <w:pStyle w:val="36"/>
              <w:widowControl w:val="0"/>
              <w:wordWrap/>
              <w:snapToGrid/>
              <w:spacing w:line="240" w:lineRule="auto"/>
              <w:jc w:val="center"/>
              <w:textAlignment w:val="auto"/>
              <w:rPr>
                <w:rFonts w:hint="default"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0.2</w:t>
            </w:r>
          </w:p>
        </w:tc>
        <w:tc>
          <w:tcPr>
            <w:tcW w:w="1320" w:type="dxa"/>
            <w:tcBorders>
              <w:tl2br w:val="nil"/>
              <w:tr2bl w:val="nil"/>
            </w:tcBorders>
            <w:vAlign w:val="center"/>
          </w:tcPr>
          <w:p w14:paraId="1D7CD84E">
            <w:pPr>
              <w:widowControl w:val="0"/>
              <w:wordWrap/>
              <w:snapToGrid/>
              <w:spacing w:line="240" w:lineRule="auto"/>
              <w:jc w:val="center"/>
              <w:textAlignment w:val="auto"/>
              <w:rPr>
                <w:rFonts w:hint="default" w:ascii="仿宋" w:hAnsi="仿宋" w:eastAsia="仿宋" w:cs="仿宋"/>
                <w:color w:val="auto"/>
                <w:sz w:val="21"/>
                <w:szCs w:val="21"/>
                <w:highlight w:val="none"/>
                <w:lang w:val="en-US" w:eastAsia="zh-CN"/>
              </w:rPr>
            </w:pPr>
            <w:r>
              <w:rPr>
                <w:rFonts w:hint="eastAsia" w:ascii="仿宋_GB2312" w:eastAsia="仿宋_GB2312"/>
                <w:color w:val="auto"/>
                <w:kern w:val="2"/>
                <w:sz w:val="21"/>
                <w:szCs w:val="22"/>
                <w:highlight w:val="none"/>
                <w:lang w:val="en-US" w:eastAsia="zh-CN" w:bidi="ar-SA"/>
              </w:rPr>
              <w:t>-</w:t>
            </w:r>
          </w:p>
        </w:tc>
        <w:tc>
          <w:tcPr>
            <w:tcW w:w="1065" w:type="dxa"/>
            <w:tcBorders>
              <w:tl2br w:val="nil"/>
              <w:tr2bl w:val="nil"/>
            </w:tcBorders>
            <w:vAlign w:val="center"/>
          </w:tcPr>
          <w:p w14:paraId="69A3F455">
            <w:pPr>
              <w:pStyle w:val="36"/>
              <w:widowControl w:val="0"/>
              <w:wordWrap/>
              <w:snapToGrid/>
              <w:spacing w:line="240" w:lineRule="auto"/>
              <w:jc w:val="center"/>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预期性</w:t>
            </w:r>
          </w:p>
        </w:tc>
      </w:tr>
      <w:tr w14:paraId="3FBD83FD">
        <w:tblPrEx>
          <w:tblCellMar>
            <w:top w:w="0" w:type="dxa"/>
            <w:left w:w="108" w:type="dxa"/>
            <w:bottom w:w="0" w:type="dxa"/>
            <w:right w:w="108" w:type="dxa"/>
          </w:tblCellMar>
        </w:tblPrEx>
        <w:trPr>
          <w:jc w:val="center"/>
        </w:trPr>
        <w:tc>
          <w:tcPr>
            <w:tcW w:w="4006" w:type="dxa"/>
            <w:gridSpan w:val="2"/>
            <w:tcBorders>
              <w:tl2br w:val="nil"/>
              <w:tr2bl w:val="nil"/>
            </w:tcBorders>
            <w:vAlign w:val="center"/>
          </w:tcPr>
          <w:p w14:paraId="7FBE373B">
            <w:pPr>
              <w:pStyle w:val="36"/>
              <w:widowControl w:val="0"/>
              <w:wordWrap/>
              <w:snapToGrid/>
              <w:spacing w:line="240" w:lineRule="auto"/>
              <w:jc w:val="left"/>
              <w:textAlignment w:val="auto"/>
              <w:rPr>
                <w:rFonts w:hint="eastAsia" w:ascii="仿宋" w:hAnsi="仿宋" w:eastAsia="仿宋" w:cs="仿宋"/>
                <w:color w:val="auto"/>
                <w:sz w:val="21"/>
                <w:szCs w:val="21"/>
                <w:lang w:eastAsia="zh-CN"/>
              </w:rPr>
            </w:pPr>
            <w:r>
              <w:rPr>
                <w:rFonts w:hint="eastAsia" w:ascii="仿宋" w:hAnsi="仿宋" w:eastAsia="仿宋" w:cs="仿宋"/>
                <w:color w:val="auto"/>
                <w:sz w:val="21"/>
                <w:szCs w:val="21"/>
                <w:lang w:val="en-US" w:eastAsia="zh-CN"/>
              </w:rPr>
              <w:t>8.高新技术企业数量</w:t>
            </w:r>
            <w:r>
              <w:rPr>
                <w:rFonts w:hint="eastAsia" w:ascii="仿宋" w:hAnsi="仿宋" w:eastAsia="仿宋" w:cs="仿宋"/>
                <w:color w:val="auto"/>
                <w:sz w:val="21"/>
                <w:szCs w:val="21"/>
                <w:lang w:eastAsia="zh-CN"/>
              </w:rPr>
              <w:t>（</w:t>
            </w:r>
            <w:r>
              <w:rPr>
                <w:rFonts w:hint="eastAsia" w:ascii="仿宋" w:hAnsi="仿宋" w:eastAsia="仿宋" w:cs="仿宋"/>
                <w:color w:val="auto"/>
                <w:sz w:val="21"/>
                <w:szCs w:val="21"/>
                <w:lang w:val="en-US" w:eastAsia="zh-CN"/>
              </w:rPr>
              <w:t>家</w:t>
            </w:r>
            <w:r>
              <w:rPr>
                <w:rFonts w:hint="eastAsia" w:ascii="仿宋" w:hAnsi="仿宋" w:eastAsia="仿宋" w:cs="仿宋"/>
                <w:color w:val="auto"/>
                <w:sz w:val="21"/>
                <w:szCs w:val="21"/>
                <w:lang w:eastAsia="zh-CN"/>
              </w:rPr>
              <w:t>）</w:t>
            </w:r>
          </w:p>
        </w:tc>
        <w:tc>
          <w:tcPr>
            <w:tcW w:w="1350" w:type="dxa"/>
            <w:tcBorders>
              <w:tl2br w:val="nil"/>
              <w:tr2bl w:val="nil"/>
            </w:tcBorders>
            <w:vAlign w:val="center"/>
          </w:tcPr>
          <w:p w14:paraId="1AD24CEB">
            <w:pPr>
              <w:widowControl w:val="0"/>
              <w:wordWrap/>
              <w:snapToGrid/>
              <w:spacing w:line="240" w:lineRule="auto"/>
              <w:jc w:val="center"/>
              <w:textAlignment w:val="auto"/>
              <w:rPr>
                <w:rFonts w:hint="default" w:ascii="仿宋" w:hAnsi="仿宋" w:eastAsia="仿宋" w:cs="仿宋"/>
                <w:color w:val="auto"/>
                <w:sz w:val="21"/>
                <w:szCs w:val="21"/>
                <w:lang w:val="en-US" w:eastAsia="zh-CN"/>
              </w:rPr>
            </w:pPr>
            <w:r>
              <w:rPr>
                <w:rFonts w:hint="eastAsia" w:ascii="仿宋_GB2312" w:eastAsia="仿宋_GB2312"/>
                <w:color w:val="auto"/>
                <w:kern w:val="2"/>
                <w:sz w:val="21"/>
                <w:szCs w:val="22"/>
                <w:highlight w:val="none"/>
                <w:lang w:val="en-US" w:eastAsia="zh-CN" w:bidi="ar-SA"/>
              </w:rPr>
              <w:t>-</w:t>
            </w:r>
          </w:p>
        </w:tc>
        <w:tc>
          <w:tcPr>
            <w:tcW w:w="1395" w:type="dxa"/>
            <w:tcBorders>
              <w:tl2br w:val="nil"/>
              <w:tr2bl w:val="nil"/>
            </w:tcBorders>
            <w:vAlign w:val="center"/>
          </w:tcPr>
          <w:p w14:paraId="1697A4A3">
            <w:pPr>
              <w:pStyle w:val="36"/>
              <w:widowControl w:val="0"/>
              <w:wordWrap/>
              <w:snapToGrid/>
              <w:spacing w:line="240" w:lineRule="auto"/>
              <w:jc w:val="center"/>
              <w:textAlignment w:val="auto"/>
              <w:rPr>
                <w:rFonts w:hint="default"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35</w:t>
            </w:r>
          </w:p>
        </w:tc>
        <w:tc>
          <w:tcPr>
            <w:tcW w:w="1320" w:type="dxa"/>
            <w:tcBorders>
              <w:tl2br w:val="nil"/>
              <w:tr2bl w:val="nil"/>
            </w:tcBorders>
            <w:vAlign w:val="center"/>
          </w:tcPr>
          <w:p w14:paraId="1DF410A6">
            <w:pPr>
              <w:widowControl w:val="0"/>
              <w:wordWrap/>
              <w:snapToGrid/>
              <w:spacing w:line="240" w:lineRule="auto"/>
              <w:jc w:val="center"/>
              <w:textAlignment w:val="auto"/>
              <w:rPr>
                <w:rFonts w:hint="default" w:ascii="仿宋" w:hAnsi="仿宋" w:eastAsia="仿宋" w:cs="仿宋"/>
                <w:color w:val="auto"/>
                <w:sz w:val="21"/>
                <w:szCs w:val="21"/>
                <w:highlight w:val="none"/>
                <w:lang w:val="en-US" w:eastAsia="zh-CN"/>
              </w:rPr>
            </w:pPr>
            <w:r>
              <w:rPr>
                <w:rFonts w:hint="eastAsia" w:ascii="仿宋_GB2312" w:eastAsia="仿宋_GB2312"/>
                <w:color w:val="auto"/>
                <w:kern w:val="2"/>
                <w:sz w:val="21"/>
                <w:szCs w:val="22"/>
                <w:highlight w:val="none"/>
                <w:lang w:val="en-US" w:eastAsia="zh-CN" w:bidi="ar-SA"/>
              </w:rPr>
              <w:t>-</w:t>
            </w:r>
          </w:p>
        </w:tc>
        <w:tc>
          <w:tcPr>
            <w:tcW w:w="1065" w:type="dxa"/>
            <w:tcBorders>
              <w:tl2br w:val="nil"/>
              <w:tr2bl w:val="nil"/>
            </w:tcBorders>
            <w:vAlign w:val="center"/>
          </w:tcPr>
          <w:p w14:paraId="7E64B739">
            <w:pPr>
              <w:pStyle w:val="36"/>
              <w:widowControl w:val="0"/>
              <w:wordWrap/>
              <w:snapToGrid/>
              <w:spacing w:line="240" w:lineRule="auto"/>
              <w:jc w:val="center"/>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预期性</w:t>
            </w:r>
          </w:p>
        </w:tc>
      </w:tr>
      <w:tr w14:paraId="64D8AE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36" w:type="dxa"/>
            <w:gridSpan w:val="6"/>
            <w:tcBorders>
              <w:tl2br w:val="nil"/>
              <w:tr2bl w:val="nil"/>
            </w:tcBorders>
            <w:vAlign w:val="center"/>
          </w:tcPr>
          <w:p w14:paraId="5E06FAFF">
            <w:pPr>
              <w:pStyle w:val="36"/>
              <w:widowControl w:val="0"/>
              <w:wordWrap/>
              <w:snapToGrid/>
              <w:spacing w:line="240" w:lineRule="auto"/>
              <w:jc w:val="center"/>
              <w:textAlignment w:val="auto"/>
              <w:rPr>
                <w:rFonts w:hint="eastAsia" w:ascii="仿宋" w:hAnsi="仿宋" w:eastAsia="仿宋" w:cs="仿宋"/>
                <w:b/>
                <w:bCs/>
                <w:color w:val="auto"/>
                <w:sz w:val="21"/>
                <w:szCs w:val="21"/>
                <w:highlight w:val="none"/>
                <w:lang w:val="en-US" w:eastAsia="zh-CN"/>
              </w:rPr>
            </w:pPr>
            <w:r>
              <w:rPr>
                <w:rFonts w:hint="eastAsia" w:ascii="仿宋" w:hAnsi="仿宋" w:eastAsia="仿宋" w:cs="仿宋"/>
                <w:b/>
                <w:bCs/>
                <w:color w:val="auto"/>
                <w:sz w:val="21"/>
                <w:szCs w:val="21"/>
                <w:lang w:val="en-US" w:eastAsia="zh-CN"/>
              </w:rPr>
              <w:t>三、民生福祉</w:t>
            </w:r>
          </w:p>
        </w:tc>
      </w:tr>
      <w:tr w14:paraId="15A4AF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6" w:type="dxa"/>
            <w:vMerge w:val="restart"/>
            <w:tcBorders>
              <w:tl2br w:val="nil"/>
              <w:tr2bl w:val="nil"/>
            </w:tcBorders>
            <w:vAlign w:val="center"/>
          </w:tcPr>
          <w:p w14:paraId="338953C4">
            <w:pPr>
              <w:pStyle w:val="36"/>
              <w:widowControl w:val="0"/>
              <w:wordWrap/>
              <w:snapToGrid/>
              <w:spacing w:line="240" w:lineRule="auto"/>
              <w:jc w:val="left"/>
              <w:textAlignment w:val="auto"/>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9.城镇就业</w:t>
            </w:r>
          </w:p>
        </w:tc>
        <w:tc>
          <w:tcPr>
            <w:tcW w:w="3000" w:type="dxa"/>
            <w:tcBorders>
              <w:tl2br w:val="nil"/>
              <w:tr2bl w:val="nil"/>
            </w:tcBorders>
            <w:vAlign w:val="center"/>
          </w:tcPr>
          <w:p w14:paraId="59E1EAF5">
            <w:pPr>
              <w:pStyle w:val="36"/>
              <w:widowControl w:val="0"/>
              <w:wordWrap/>
              <w:snapToGrid/>
              <w:spacing w:line="240" w:lineRule="auto"/>
              <w:jc w:val="left"/>
              <w:textAlignment w:val="auto"/>
              <w:rPr>
                <w:rFonts w:hint="eastAsia" w:ascii="仿宋" w:hAnsi="仿宋" w:eastAsia="仿宋" w:cs="仿宋"/>
                <w:color w:val="auto"/>
                <w:sz w:val="21"/>
                <w:szCs w:val="21"/>
                <w:lang w:val="en-US" w:eastAsia="zh-CN"/>
              </w:rPr>
            </w:pPr>
            <w:r>
              <w:rPr>
                <w:rFonts w:hint="eastAsia" w:ascii="仿宋_GB2312" w:eastAsia="仿宋_GB2312"/>
                <w:color w:val="auto"/>
              </w:rPr>
              <w:t>城镇新增就业人数</w:t>
            </w:r>
            <w:r>
              <w:rPr>
                <w:rFonts w:hint="eastAsia" w:ascii="仿宋_GB2312" w:eastAsia="仿宋_GB2312"/>
                <w:color w:val="auto"/>
                <w:highlight w:val="none"/>
              </w:rPr>
              <w:t>(</w:t>
            </w:r>
            <w:r>
              <w:rPr>
                <w:rFonts w:hint="eastAsia" w:ascii="仿宋_GB2312" w:eastAsia="仿宋_GB2312"/>
                <w:color w:val="auto"/>
                <w:highlight w:val="none"/>
                <w:lang w:val="en-US" w:eastAsia="zh-CN"/>
              </w:rPr>
              <w:t>万人</w:t>
            </w:r>
            <w:r>
              <w:rPr>
                <w:rFonts w:hint="eastAsia" w:ascii="仿宋_GB2312" w:eastAsia="仿宋_GB2312"/>
                <w:color w:val="auto"/>
                <w:highlight w:val="none"/>
              </w:rPr>
              <w:t>)</w:t>
            </w:r>
          </w:p>
        </w:tc>
        <w:tc>
          <w:tcPr>
            <w:tcW w:w="1350" w:type="dxa"/>
            <w:tcBorders>
              <w:tl2br w:val="nil"/>
              <w:tr2bl w:val="nil"/>
            </w:tcBorders>
            <w:vAlign w:val="center"/>
          </w:tcPr>
          <w:p w14:paraId="02E1B2EB">
            <w:pPr>
              <w:widowControl w:val="0"/>
              <w:wordWrap/>
              <w:snapToGrid/>
              <w:spacing w:line="240" w:lineRule="auto"/>
              <w:jc w:val="center"/>
              <w:textAlignment w:val="auto"/>
              <w:rPr>
                <w:rFonts w:hint="default" w:ascii="仿宋" w:hAnsi="仿宋" w:eastAsia="仿宋" w:cs="仿宋"/>
                <w:color w:val="auto"/>
                <w:sz w:val="21"/>
                <w:szCs w:val="21"/>
                <w:lang w:val="en-US" w:eastAsia="zh-CN"/>
              </w:rPr>
            </w:pPr>
            <w:r>
              <w:rPr>
                <w:rFonts w:hint="eastAsia" w:ascii="仿宋_GB2312" w:eastAsia="仿宋_GB2312"/>
                <w:color w:val="auto"/>
                <w:kern w:val="2"/>
                <w:sz w:val="21"/>
                <w:szCs w:val="22"/>
                <w:highlight w:val="none"/>
                <w:lang w:val="en-US" w:eastAsia="zh-CN" w:bidi="ar-SA"/>
              </w:rPr>
              <w:t>-</w:t>
            </w:r>
          </w:p>
        </w:tc>
        <w:tc>
          <w:tcPr>
            <w:tcW w:w="1395" w:type="dxa"/>
            <w:tcBorders>
              <w:tl2br w:val="nil"/>
              <w:tr2bl w:val="nil"/>
            </w:tcBorders>
            <w:vAlign w:val="center"/>
          </w:tcPr>
          <w:p w14:paraId="26AA8D98">
            <w:pPr>
              <w:wordWrap/>
              <w:snapToGrid/>
              <w:spacing w:line="240" w:lineRule="auto"/>
              <w:jc w:val="center"/>
              <w:textAlignment w:val="auto"/>
              <w:rPr>
                <w:rFonts w:hint="default"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[2.8]</w:t>
            </w:r>
          </w:p>
        </w:tc>
        <w:tc>
          <w:tcPr>
            <w:tcW w:w="1320" w:type="dxa"/>
            <w:tcBorders>
              <w:tl2br w:val="nil"/>
              <w:tr2bl w:val="nil"/>
            </w:tcBorders>
            <w:vAlign w:val="center"/>
          </w:tcPr>
          <w:p w14:paraId="41749E22">
            <w:pPr>
              <w:widowControl w:val="0"/>
              <w:wordWrap/>
              <w:snapToGrid/>
              <w:spacing w:line="240" w:lineRule="auto"/>
              <w:jc w:val="center"/>
              <w:textAlignment w:val="auto"/>
              <w:rPr>
                <w:rFonts w:hint="eastAsia" w:ascii="仿宋" w:hAnsi="仿宋" w:eastAsia="仿宋" w:cs="仿宋"/>
                <w:color w:val="auto"/>
                <w:sz w:val="21"/>
                <w:szCs w:val="21"/>
                <w:highlight w:val="none"/>
                <w:lang w:val="en-US" w:eastAsia="zh-CN"/>
              </w:rPr>
            </w:pPr>
            <w:r>
              <w:rPr>
                <w:rFonts w:hint="eastAsia" w:ascii="仿宋_GB2312" w:eastAsia="仿宋_GB2312"/>
                <w:color w:val="auto"/>
                <w:kern w:val="2"/>
                <w:sz w:val="21"/>
                <w:szCs w:val="22"/>
                <w:highlight w:val="none"/>
                <w:lang w:val="en-US" w:eastAsia="zh-CN" w:bidi="ar-SA"/>
              </w:rPr>
              <w:t>-</w:t>
            </w:r>
          </w:p>
        </w:tc>
        <w:tc>
          <w:tcPr>
            <w:tcW w:w="1065" w:type="dxa"/>
            <w:tcBorders>
              <w:tl2br w:val="nil"/>
              <w:tr2bl w:val="nil"/>
            </w:tcBorders>
            <w:vAlign w:val="center"/>
          </w:tcPr>
          <w:p w14:paraId="77913A8D">
            <w:pPr>
              <w:pStyle w:val="36"/>
              <w:widowControl w:val="0"/>
              <w:wordWrap/>
              <w:snapToGrid/>
              <w:spacing w:line="240" w:lineRule="auto"/>
              <w:jc w:val="center"/>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预期性</w:t>
            </w:r>
          </w:p>
        </w:tc>
      </w:tr>
      <w:tr w14:paraId="0F4E4E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jc w:val="center"/>
        </w:trPr>
        <w:tc>
          <w:tcPr>
            <w:tcW w:w="1006" w:type="dxa"/>
            <w:vMerge w:val="continue"/>
            <w:tcBorders>
              <w:tl2br w:val="nil"/>
              <w:tr2bl w:val="nil"/>
            </w:tcBorders>
            <w:vAlign w:val="center"/>
          </w:tcPr>
          <w:p w14:paraId="054A106E">
            <w:pPr>
              <w:wordWrap/>
              <w:snapToGrid/>
              <w:spacing w:line="240" w:lineRule="auto"/>
              <w:jc w:val="left"/>
              <w:textAlignment w:val="auto"/>
              <w:rPr>
                <w:rFonts w:hint="eastAsia" w:ascii="仿宋_GB2312" w:eastAsia="仿宋_GB2312"/>
                <w:color w:val="auto"/>
                <w:kern w:val="2"/>
                <w:sz w:val="21"/>
                <w:szCs w:val="22"/>
                <w:lang w:val="en-US" w:eastAsia="zh-CN" w:bidi="ar-SA"/>
              </w:rPr>
            </w:pPr>
          </w:p>
        </w:tc>
        <w:tc>
          <w:tcPr>
            <w:tcW w:w="3000" w:type="dxa"/>
            <w:tcBorders>
              <w:tl2br w:val="nil"/>
              <w:tr2bl w:val="nil"/>
            </w:tcBorders>
            <w:vAlign w:val="center"/>
          </w:tcPr>
          <w:p w14:paraId="08DDD3B1">
            <w:pPr>
              <w:wordWrap/>
              <w:snapToGrid/>
              <w:spacing w:line="240" w:lineRule="auto"/>
              <w:jc w:val="left"/>
              <w:textAlignment w:val="auto"/>
              <w:rPr>
                <w:rFonts w:hint="eastAsia" w:ascii="仿宋_GB2312" w:eastAsia="仿宋_GB2312"/>
                <w:color w:val="auto"/>
                <w:lang w:val="en-US" w:eastAsia="zh-CN"/>
              </w:rPr>
            </w:pPr>
            <w:r>
              <w:rPr>
                <w:rFonts w:hint="eastAsia" w:ascii="仿宋" w:hAnsi="仿宋" w:eastAsia="仿宋" w:cs="仿宋"/>
                <w:color w:val="auto"/>
                <w:sz w:val="21"/>
                <w:szCs w:val="21"/>
              </w:rPr>
              <w:t>城镇调查失业率</w:t>
            </w:r>
            <w:r>
              <w:rPr>
                <w:rFonts w:hint="eastAsia" w:ascii="仿宋" w:hAnsi="仿宋" w:eastAsia="仿宋" w:cs="仿宋"/>
                <w:color w:val="auto"/>
                <w:sz w:val="21"/>
                <w:szCs w:val="21"/>
                <w:lang w:eastAsia="zh-CN"/>
              </w:rPr>
              <w:t>（</w:t>
            </w:r>
            <w:r>
              <w:rPr>
                <w:rFonts w:hint="eastAsia" w:ascii="仿宋" w:hAnsi="仿宋" w:eastAsia="仿宋" w:cs="仿宋"/>
                <w:color w:val="auto"/>
                <w:sz w:val="21"/>
                <w:szCs w:val="21"/>
                <w:lang w:val="en-US" w:eastAsia="zh-CN"/>
              </w:rPr>
              <w:t>%</w:t>
            </w:r>
            <w:r>
              <w:rPr>
                <w:rFonts w:hint="eastAsia" w:ascii="仿宋" w:hAnsi="仿宋" w:eastAsia="仿宋" w:cs="仿宋"/>
                <w:color w:val="auto"/>
                <w:sz w:val="21"/>
                <w:szCs w:val="21"/>
                <w:lang w:eastAsia="zh-CN"/>
              </w:rPr>
              <w:t>）</w:t>
            </w:r>
          </w:p>
        </w:tc>
        <w:tc>
          <w:tcPr>
            <w:tcW w:w="1350" w:type="dxa"/>
            <w:tcBorders>
              <w:tl2br w:val="nil"/>
              <w:tr2bl w:val="nil"/>
            </w:tcBorders>
            <w:vAlign w:val="center"/>
          </w:tcPr>
          <w:p w14:paraId="5E61703B">
            <w:pPr>
              <w:wordWrap/>
              <w:snapToGrid/>
              <w:spacing w:line="240" w:lineRule="auto"/>
              <w:jc w:val="center"/>
              <w:textAlignment w:val="auto"/>
              <w:rPr>
                <w:rFonts w:hint="default" w:ascii="仿宋_GB2312" w:eastAsia="仿宋_GB2312"/>
                <w:color w:val="auto"/>
                <w:kern w:val="2"/>
                <w:sz w:val="21"/>
                <w:szCs w:val="22"/>
                <w:lang w:val="en-US" w:eastAsia="zh-CN" w:bidi="ar-SA"/>
              </w:rPr>
            </w:pPr>
            <w:r>
              <w:rPr>
                <w:rFonts w:hint="eastAsia" w:ascii="仿宋_GB2312" w:eastAsia="仿宋_GB2312"/>
                <w:color w:val="auto"/>
                <w:kern w:val="2"/>
                <w:sz w:val="21"/>
                <w:szCs w:val="22"/>
                <w:highlight w:val="none"/>
                <w:lang w:val="en-US" w:eastAsia="zh-CN" w:bidi="ar-SA"/>
              </w:rPr>
              <w:t>-</w:t>
            </w:r>
          </w:p>
        </w:tc>
        <w:tc>
          <w:tcPr>
            <w:tcW w:w="1395" w:type="dxa"/>
            <w:tcBorders>
              <w:tl2br w:val="nil"/>
              <w:tr2bl w:val="nil"/>
            </w:tcBorders>
            <w:vAlign w:val="center"/>
          </w:tcPr>
          <w:p w14:paraId="22B9D0DC">
            <w:pPr>
              <w:pStyle w:val="36"/>
              <w:widowControl w:val="0"/>
              <w:wordWrap/>
              <w:snapToGrid/>
              <w:spacing w:line="240" w:lineRule="auto"/>
              <w:jc w:val="center"/>
              <w:textAlignment w:val="auto"/>
              <w:rPr>
                <w:rFonts w:hint="default" w:ascii="仿宋_GB2312" w:eastAsia="仿宋_GB2312"/>
                <w:color w:val="auto"/>
                <w:kern w:val="2"/>
                <w:sz w:val="21"/>
                <w:szCs w:val="22"/>
                <w:highlight w:val="none"/>
                <w:lang w:val="en-US" w:eastAsia="zh-CN" w:bidi="ar-SA"/>
              </w:rPr>
            </w:pPr>
            <w:r>
              <w:rPr>
                <w:rFonts w:hint="eastAsia" w:ascii="仿宋_GB2312" w:eastAsia="仿宋_GB2312"/>
                <w:color w:val="auto"/>
                <w:kern w:val="2"/>
                <w:sz w:val="21"/>
                <w:szCs w:val="22"/>
                <w:highlight w:val="none"/>
                <w:lang w:val="en-US" w:eastAsia="zh-CN" w:bidi="ar-SA"/>
              </w:rPr>
              <w:t>5.5左右</w:t>
            </w:r>
          </w:p>
        </w:tc>
        <w:tc>
          <w:tcPr>
            <w:tcW w:w="1320" w:type="dxa"/>
            <w:tcBorders>
              <w:tl2br w:val="nil"/>
              <w:tr2bl w:val="nil"/>
            </w:tcBorders>
            <w:vAlign w:val="center"/>
          </w:tcPr>
          <w:p w14:paraId="786424C9">
            <w:pPr>
              <w:widowControl w:val="0"/>
              <w:wordWrap/>
              <w:snapToGrid/>
              <w:spacing w:line="240" w:lineRule="auto"/>
              <w:jc w:val="center"/>
              <w:textAlignment w:val="auto"/>
              <w:rPr>
                <w:rFonts w:hint="eastAsia" w:ascii="仿宋" w:hAnsi="仿宋" w:eastAsia="仿宋" w:cs="仿宋"/>
                <w:color w:val="auto"/>
                <w:sz w:val="21"/>
                <w:szCs w:val="21"/>
                <w:highlight w:val="none"/>
                <w:lang w:val="en-US" w:eastAsia="zh-CN"/>
              </w:rPr>
            </w:pPr>
            <w:r>
              <w:rPr>
                <w:rFonts w:hint="eastAsia" w:ascii="仿宋_GB2312" w:eastAsia="仿宋_GB2312"/>
                <w:color w:val="auto"/>
                <w:kern w:val="2"/>
                <w:sz w:val="21"/>
                <w:szCs w:val="22"/>
                <w:highlight w:val="none"/>
                <w:lang w:val="en-US" w:eastAsia="zh-CN" w:bidi="ar-SA"/>
              </w:rPr>
              <w:t>-</w:t>
            </w:r>
          </w:p>
        </w:tc>
        <w:tc>
          <w:tcPr>
            <w:tcW w:w="1065" w:type="dxa"/>
            <w:tcBorders>
              <w:tl2br w:val="nil"/>
              <w:tr2bl w:val="nil"/>
            </w:tcBorders>
            <w:vAlign w:val="center"/>
          </w:tcPr>
          <w:p w14:paraId="739632E0">
            <w:pPr>
              <w:pStyle w:val="36"/>
              <w:widowControl w:val="0"/>
              <w:wordWrap/>
              <w:snapToGrid/>
              <w:spacing w:line="240" w:lineRule="auto"/>
              <w:jc w:val="center"/>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预期性</w:t>
            </w:r>
          </w:p>
        </w:tc>
      </w:tr>
      <w:tr w14:paraId="675BC5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6" w:type="dxa"/>
            <w:tcBorders>
              <w:tl2br w:val="nil"/>
              <w:tr2bl w:val="nil"/>
            </w:tcBorders>
            <w:vAlign w:val="center"/>
          </w:tcPr>
          <w:p w14:paraId="38377887">
            <w:pPr>
              <w:pStyle w:val="36"/>
              <w:widowControl w:val="0"/>
              <w:wordWrap/>
              <w:snapToGrid/>
              <w:spacing w:line="240" w:lineRule="auto"/>
              <w:jc w:val="left"/>
              <w:textAlignment w:val="auto"/>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10.居民收入</w:t>
            </w:r>
          </w:p>
        </w:tc>
        <w:tc>
          <w:tcPr>
            <w:tcW w:w="3000" w:type="dxa"/>
            <w:tcBorders>
              <w:tl2br w:val="nil"/>
              <w:tr2bl w:val="nil"/>
            </w:tcBorders>
            <w:vAlign w:val="center"/>
          </w:tcPr>
          <w:p w14:paraId="0D288D7D">
            <w:pPr>
              <w:pStyle w:val="36"/>
              <w:widowControl w:val="0"/>
              <w:wordWrap/>
              <w:snapToGrid/>
              <w:spacing w:line="240" w:lineRule="auto"/>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居民人均可支配收入增长</w:t>
            </w:r>
            <w:r>
              <w:rPr>
                <w:rFonts w:hint="eastAsia" w:ascii="仿宋" w:hAnsi="仿宋" w:eastAsia="仿宋" w:cs="仿宋"/>
                <w:color w:val="auto"/>
                <w:sz w:val="21"/>
                <w:szCs w:val="21"/>
                <w:lang w:eastAsia="zh-CN"/>
              </w:rPr>
              <w:t>（</w:t>
            </w:r>
            <w:r>
              <w:rPr>
                <w:rFonts w:hint="eastAsia" w:ascii="仿宋" w:hAnsi="仿宋" w:eastAsia="仿宋" w:cs="仿宋"/>
                <w:color w:val="auto"/>
                <w:sz w:val="21"/>
                <w:szCs w:val="21"/>
                <w:lang w:val="en-US" w:eastAsia="zh-CN"/>
              </w:rPr>
              <w:t>%</w:t>
            </w:r>
            <w:r>
              <w:rPr>
                <w:rFonts w:hint="eastAsia" w:ascii="仿宋" w:hAnsi="仿宋" w:eastAsia="仿宋" w:cs="仿宋"/>
                <w:color w:val="auto"/>
                <w:sz w:val="21"/>
                <w:szCs w:val="21"/>
                <w:lang w:eastAsia="zh-CN"/>
              </w:rPr>
              <w:t>）</w:t>
            </w:r>
          </w:p>
        </w:tc>
        <w:tc>
          <w:tcPr>
            <w:tcW w:w="1350" w:type="dxa"/>
            <w:tcBorders>
              <w:tl2br w:val="nil"/>
              <w:tr2bl w:val="nil"/>
            </w:tcBorders>
            <w:vAlign w:val="center"/>
          </w:tcPr>
          <w:p w14:paraId="7F18CED4">
            <w:pPr>
              <w:pStyle w:val="36"/>
              <w:widowControl w:val="0"/>
              <w:wordWrap/>
              <w:snapToGrid/>
              <w:spacing w:line="240" w:lineRule="auto"/>
              <w:jc w:val="center"/>
              <w:textAlignment w:val="auto"/>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6.0</w:t>
            </w:r>
          </w:p>
        </w:tc>
        <w:tc>
          <w:tcPr>
            <w:tcW w:w="1395" w:type="dxa"/>
            <w:tcBorders>
              <w:tl2br w:val="nil"/>
              <w:tr2bl w:val="nil"/>
            </w:tcBorders>
            <w:vAlign w:val="center"/>
          </w:tcPr>
          <w:p w14:paraId="4B6F496E">
            <w:pPr>
              <w:pStyle w:val="36"/>
              <w:widowControl w:val="0"/>
              <w:wordWrap/>
              <w:snapToGrid/>
              <w:spacing w:line="240" w:lineRule="auto"/>
              <w:jc w:val="center"/>
              <w:textAlignment w:val="auto"/>
              <w:rPr>
                <w:rFonts w:hint="default" w:ascii="仿宋" w:hAnsi="仿宋" w:eastAsia="仿宋" w:cs="仿宋"/>
                <w:color w:val="auto"/>
                <w:sz w:val="21"/>
                <w:szCs w:val="21"/>
                <w:highlight w:val="none"/>
                <w:lang w:val="en-US" w:eastAsia="zh-CN"/>
              </w:rPr>
            </w:pPr>
            <w:r>
              <w:rPr>
                <w:rFonts w:hint="eastAsia" w:ascii="仿宋_GB2312" w:eastAsia="仿宋_GB2312"/>
                <w:color w:val="auto"/>
                <w:kern w:val="2"/>
                <w:sz w:val="21"/>
                <w:szCs w:val="22"/>
                <w:highlight w:val="none"/>
                <w:lang w:val="en-US" w:eastAsia="zh-CN" w:bidi="ar-SA"/>
              </w:rPr>
              <w:t>-</w:t>
            </w:r>
          </w:p>
        </w:tc>
        <w:tc>
          <w:tcPr>
            <w:tcW w:w="1320" w:type="dxa"/>
            <w:tcBorders>
              <w:tl2br w:val="nil"/>
              <w:tr2bl w:val="nil"/>
            </w:tcBorders>
            <w:vAlign w:val="center"/>
          </w:tcPr>
          <w:p w14:paraId="4DF87DA7">
            <w:pPr>
              <w:pStyle w:val="36"/>
              <w:widowControl w:val="0"/>
              <w:wordWrap/>
              <w:snapToGrid/>
              <w:spacing w:line="240" w:lineRule="auto"/>
              <w:jc w:val="center"/>
              <w:textAlignment w:val="auto"/>
              <w:rPr>
                <w:rFonts w:hint="default"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与经济增长基本同步</w:t>
            </w:r>
          </w:p>
        </w:tc>
        <w:tc>
          <w:tcPr>
            <w:tcW w:w="1065" w:type="dxa"/>
            <w:tcBorders>
              <w:tl2br w:val="nil"/>
              <w:tr2bl w:val="nil"/>
            </w:tcBorders>
            <w:vAlign w:val="center"/>
          </w:tcPr>
          <w:p w14:paraId="5190F4B3">
            <w:pPr>
              <w:pStyle w:val="36"/>
              <w:widowControl w:val="0"/>
              <w:wordWrap/>
              <w:snapToGrid/>
              <w:spacing w:line="240" w:lineRule="auto"/>
              <w:jc w:val="center"/>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预期性</w:t>
            </w:r>
          </w:p>
        </w:tc>
      </w:tr>
      <w:tr w14:paraId="2DD0E2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006" w:type="dxa"/>
            <w:gridSpan w:val="2"/>
            <w:tcBorders>
              <w:tl2br w:val="nil"/>
              <w:tr2bl w:val="nil"/>
            </w:tcBorders>
            <w:vAlign w:val="center"/>
          </w:tcPr>
          <w:p w14:paraId="18D69624">
            <w:pPr>
              <w:pStyle w:val="36"/>
              <w:widowControl w:val="0"/>
              <w:wordWrap/>
              <w:snapToGrid/>
              <w:spacing w:line="240" w:lineRule="auto"/>
              <w:jc w:val="left"/>
              <w:textAlignment w:val="auto"/>
              <w:rPr>
                <w:rFonts w:hint="eastAsia" w:ascii="仿宋" w:hAnsi="仿宋" w:eastAsia="仿宋" w:cs="仿宋"/>
                <w:color w:val="auto"/>
                <w:sz w:val="21"/>
                <w:szCs w:val="21"/>
                <w:lang w:eastAsia="zh-CN"/>
              </w:rPr>
            </w:pPr>
            <w:r>
              <w:rPr>
                <w:rFonts w:hint="eastAsia" w:ascii="仿宋" w:hAnsi="仿宋" w:eastAsia="仿宋" w:cs="仿宋"/>
                <w:color w:val="auto"/>
                <w:sz w:val="21"/>
                <w:szCs w:val="21"/>
                <w:lang w:val="en-US" w:eastAsia="zh-CN"/>
              </w:rPr>
              <w:t>11.劳动年龄人口平均受教育年限</w:t>
            </w:r>
            <w:r>
              <w:rPr>
                <w:rFonts w:hint="eastAsia" w:ascii="仿宋" w:hAnsi="仿宋" w:eastAsia="仿宋" w:cs="仿宋"/>
                <w:color w:val="auto"/>
                <w:sz w:val="21"/>
                <w:szCs w:val="21"/>
                <w:lang w:eastAsia="zh-CN"/>
              </w:rPr>
              <w:t>（</w:t>
            </w:r>
            <w:r>
              <w:rPr>
                <w:rFonts w:hint="eastAsia" w:ascii="仿宋" w:hAnsi="仿宋" w:eastAsia="仿宋" w:cs="仿宋"/>
                <w:color w:val="auto"/>
                <w:sz w:val="21"/>
                <w:szCs w:val="21"/>
                <w:lang w:val="en-US" w:eastAsia="zh-CN"/>
              </w:rPr>
              <w:t>年</w:t>
            </w:r>
            <w:r>
              <w:rPr>
                <w:rFonts w:hint="eastAsia" w:ascii="仿宋" w:hAnsi="仿宋" w:eastAsia="仿宋" w:cs="仿宋"/>
                <w:color w:val="auto"/>
                <w:sz w:val="21"/>
                <w:szCs w:val="21"/>
                <w:lang w:eastAsia="zh-CN"/>
              </w:rPr>
              <w:t>）</w:t>
            </w:r>
          </w:p>
        </w:tc>
        <w:tc>
          <w:tcPr>
            <w:tcW w:w="1350" w:type="dxa"/>
            <w:tcBorders>
              <w:tl2br w:val="nil"/>
              <w:tr2bl w:val="nil"/>
            </w:tcBorders>
            <w:vAlign w:val="center"/>
          </w:tcPr>
          <w:p w14:paraId="6FD453DB">
            <w:pPr>
              <w:widowControl w:val="0"/>
              <w:wordWrap/>
              <w:snapToGrid/>
              <w:spacing w:line="240" w:lineRule="auto"/>
              <w:jc w:val="center"/>
              <w:textAlignment w:val="auto"/>
              <w:rPr>
                <w:rFonts w:hint="default" w:ascii="仿宋" w:hAnsi="仿宋" w:eastAsia="仿宋" w:cs="仿宋"/>
                <w:color w:val="auto"/>
                <w:sz w:val="21"/>
                <w:szCs w:val="21"/>
                <w:lang w:val="en-US" w:eastAsia="zh-CN"/>
              </w:rPr>
            </w:pPr>
            <w:r>
              <w:rPr>
                <w:rFonts w:hint="eastAsia" w:ascii="仿宋_GB2312" w:eastAsia="仿宋_GB2312"/>
                <w:color w:val="auto"/>
                <w:kern w:val="2"/>
                <w:sz w:val="21"/>
                <w:szCs w:val="22"/>
                <w:highlight w:val="none"/>
                <w:lang w:val="en-US" w:eastAsia="zh-CN" w:bidi="ar-SA"/>
              </w:rPr>
              <w:t>-</w:t>
            </w:r>
          </w:p>
        </w:tc>
        <w:tc>
          <w:tcPr>
            <w:tcW w:w="1395" w:type="dxa"/>
            <w:tcBorders>
              <w:tl2br w:val="nil"/>
              <w:tr2bl w:val="nil"/>
            </w:tcBorders>
            <w:vAlign w:val="center"/>
          </w:tcPr>
          <w:p w14:paraId="024F73C7">
            <w:pPr>
              <w:pStyle w:val="36"/>
              <w:widowControl w:val="0"/>
              <w:wordWrap/>
              <w:snapToGrid/>
              <w:spacing w:line="240" w:lineRule="auto"/>
              <w:jc w:val="center"/>
              <w:textAlignment w:val="auto"/>
              <w:rPr>
                <w:rFonts w:hint="default"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不低于省市下达目标</w:t>
            </w:r>
          </w:p>
        </w:tc>
        <w:tc>
          <w:tcPr>
            <w:tcW w:w="1320" w:type="dxa"/>
            <w:tcBorders>
              <w:tl2br w:val="nil"/>
              <w:tr2bl w:val="nil"/>
            </w:tcBorders>
            <w:vAlign w:val="center"/>
          </w:tcPr>
          <w:p w14:paraId="162858A8">
            <w:pPr>
              <w:widowControl w:val="0"/>
              <w:wordWrap/>
              <w:snapToGrid/>
              <w:spacing w:line="240" w:lineRule="auto"/>
              <w:jc w:val="center"/>
              <w:textAlignment w:val="auto"/>
              <w:rPr>
                <w:rFonts w:hint="eastAsia" w:ascii="仿宋" w:hAnsi="仿宋" w:eastAsia="仿宋" w:cs="仿宋"/>
                <w:color w:val="auto"/>
                <w:sz w:val="21"/>
                <w:szCs w:val="21"/>
                <w:highlight w:val="none"/>
                <w:lang w:val="en-US" w:eastAsia="zh-CN"/>
              </w:rPr>
            </w:pPr>
            <w:r>
              <w:rPr>
                <w:rFonts w:hint="eastAsia" w:ascii="仿宋_GB2312" w:eastAsia="仿宋_GB2312"/>
                <w:color w:val="auto"/>
                <w:kern w:val="2"/>
                <w:sz w:val="21"/>
                <w:szCs w:val="22"/>
                <w:highlight w:val="none"/>
                <w:lang w:val="en-US" w:eastAsia="zh-CN" w:bidi="ar-SA"/>
              </w:rPr>
              <w:t>-</w:t>
            </w:r>
          </w:p>
        </w:tc>
        <w:tc>
          <w:tcPr>
            <w:tcW w:w="1065" w:type="dxa"/>
            <w:tcBorders>
              <w:tl2br w:val="nil"/>
              <w:tr2bl w:val="nil"/>
            </w:tcBorders>
            <w:vAlign w:val="center"/>
          </w:tcPr>
          <w:p w14:paraId="4E81F92F">
            <w:pPr>
              <w:pStyle w:val="36"/>
              <w:widowControl w:val="0"/>
              <w:wordWrap/>
              <w:snapToGrid/>
              <w:spacing w:line="240" w:lineRule="auto"/>
              <w:jc w:val="center"/>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约束性</w:t>
            </w:r>
          </w:p>
        </w:tc>
      </w:tr>
      <w:tr w14:paraId="022D59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006" w:type="dxa"/>
            <w:gridSpan w:val="2"/>
            <w:tcBorders>
              <w:tl2br w:val="nil"/>
              <w:tr2bl w:val="nil"/>
            </w:tcBorders>
            <w:vAlign w:val="center"/>
          </w:tcPr>
          <w:p w14:paraId="16970A0B">
            <w:pPr>
              <w:pStyle w:val="36"/>
              <w:widowControl w:val="0"/>
              <w:wordWrap/>
              <w:snapToGrid/>
              <w:spacing w:line="240" w:lineRule="auto"/>
              <w:jc w:val="left"/>
              <w:textAlignment w:val="auto"/>
              <w:rPr>
                <w:rFonts w:hint="eastAsia" w:ascii="仿宋" w:hAnsi="仿宋" w:eastAsia="仿宋" w:cs="仿宋"/>
                <w:color w:val="auto"/>
                <w:sz w:val="21"/>
                <w:szCs w:val="21"/>
                <w:lang w:eastAsia="zh-CN"/>
              </w:rPr>
            </w:pPr>
            <w:r>
              <w:rPr>
                <w:rFonts w:hint="eastAsia" w:ascii="仿宋" w:hAnsi="仿宋" w:eastAsia="仿宋" w:cs="仿宋"/>
                <w:color w:val="auto"/>
                <w:sz w:val="21"/>
                <w:szCs w:val="21"/>
                <w:lang w:val="en-US" w:eastAsia="zh-CN"/>
              </w:rPr>
              <w:t>12.个人卫生支出占卫生总费用比重</w:t>
            </w:r>
            <w:r>
              <w:rPr>
                <w:rFonts w:hint="eastAsia" w:ascii="仿宋" w:hAnsi="仿宋" w:eastAsia="仿宋" w:cs="仿宋"/>
                <w:color w:val="auto"/>
                <w:sz w:val="21"/>
                <w:szCs w:val="21"/>
                <w:lang w:eastAsia="zh-CN"/>
              </w:rPr>
              <w:t>（</w:t>
            </w:r>
            <w:r>
              <w:rPr>
                <w:rFonts w:hint="eastAsia" w:ascii="仿宋" w:hAnsi="仿宋" w:eastAsia="仿宋" w:cs="仿宋"/>
                <w:color w:val="auto"/>
                <w:sz w:val="21"/>
                <w:szCs w:val="21"/>
                <w:lang w:val="en-US" w:eastAsia="zh-CN"/>
              </w:rPr>
              <w:t>%</w:t>
            </w:r>
            <w:r>
              <w:rPr>
                <w:rFonts w:hint="eastAsia" w:ascii="仿宋" w:hAnsi="仿宋" w:eastAsia="仿宋" w:cs="仿宋"/>
                <w:color w:val="auto"/>
                <w:sz w:val="21"/>
                <w:szCs w:val="21"/>
                <w:lang w:eastAsia="zh-CN"/>
              </w:rPr>
              <w:t>）</w:t>
            </w:r>
          </w:p>
        </w:tc>
        <w:tc>
          <w:tcPr>
            <w:tcW w:w="1350" w:type="dxa"/>
            <w:tcBorders>
              <w:tl2br w:val="nil"/>
              <w:tr2bl w:val="nil"/>
            </w:tcBorders>
            <w:vAlign w:val="center"/>
          </w:tcPr>
          <w:p w14:paraId="3246E51E">
            <w:pPr>
              <w:widowControl w:val="0"/>
              <w:wordWrap/>
              <w:snapToGrid/>
              <w:spacing w:line="240" w:lineRule="auto"/>
              <w:jc w:val="center"/>
              <w:textAlignment w:val="auto"/>
              <w:rPr>
                <w:rFonts w:hint="eastAsia" w:ascii="仿宋" w:hAnsi="仿宋" w:eastAsia="仿宋" w:cs="仿宋"/>
                <w:color w:val="auto"/>
                <w:sz w:val="21"/>
                <w:szCs w:val="21"/>
                <w:lang w:val="en-US" w:eastAsia="zh-CN"/>
              </w:rPr>
            </w:pPr>
            <w:r>
              <w:rPr>
                <w:rFonts w:hint="eastAsia" w:ascii="仿宋_GB2312" w:eastAsia="仿宋_GB2312"/>
                <w:color w:val="auto"/>
                <w:kern w:val="2"/>
                <w:sz w:val="21"/>
                <w:szCs w:val="22"/>
                <w:highlight w:val="none"/>
                <w:lang w:val="en-US" w:eastAsia="zh-CN" w:bidi="ar-SA"/>
              </w:rPr>
              <w:t>-</w:t>
            </w:r>
          </w:p>
        </w:tc>
        <w:tc>
          <w:tcPr>
            <w:tcW w:w="1395" w:type="dxa"/>
            <w:tcBorders>
              <w:tl2br w:val="nil"/>
              <w:tr2bl w:val="nil"/>
            </w:tcBorders>
            <w:vAlign w:val="center"/>
          </w:tcPr>
          <w:p w14:paraId="1F00AA1C">
            <w:pPr>
              <w:pStyle w:val="36"/>
              <w:widowControl w:val="0"/>
              <w:wordWrap/>
              <w:snapToGrid/>
              <w:spacing w:line="240" w:lineRule="auto"/>
              <w:jc w:val="center"/>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不低于省市下达目标</w:t>
            </w:r>
          </w:p>
        </w:tc>
        <w:tc>
          <w:tcPr>
            <w:tcW w:w="1320" w:type="dxa"/>
            <w:tcBorders>
              <w:tl2br w:val="nil"/>
              <w:tr2bl w:val="nil"/>
            </w:tcBorders>
            <w:vAlign w:val="center"/>
          </w:tcPr>
          <w:p w14:paraId="0F683FA7">
            <w:pPr>
              <w:widowControl w:val="0"/>
              <w:wordWrap/>
              <w:snapToGrid/>
              <w:spacing w:line="240" w:lineRule="auto"/>
              <w:jc w:val="center"/>
              <w:textAlignment w:val="auto"/>
              <w:rPr>
                <w:rFonts w:hint="eastAsia" w:ascii="仿宋" w:hAnsi="仿宋" w:eastAsia="仿宋" w:cs="仿宋"/>
                <w:color w:val="auto"/>
                <w:sz w:val="21"/>
                <w:szCs w:val="21"/>
                <w:highlight w:val="none"/>
                <w:lang w:val="en-US" w:eastAsia="zh-CN"/>
              </w:rPr>
            </w:pPr>
            <w:r>
              <w:rPr>
                <w:rFonts w:hint="eastAsia" w:ascii="仿宋_GB2312" w:eastAsia="仿宋_GB2312"/>
                <w:color w:val="auto"/>
                <w:kern w:val="2"/>
                <w:sz w:val="21"/>
                <w:szCs w:val="22"/>
                <w:highlight w:val="none"/>
                <w:lang w:val="en-US" w:eastAsia="zh-CN" w:bidi="ar-SA"/>
              </w:rPr>
              <w:t>-</w:t>
            </w:r>
          </w:p>
        </w:tc>
        <w:tc>
          <w:tcPr>
            <w:tcW w:w="1065" w:type="dxa"/>
            <w:tcBorders>
              <w:tl2br w:val="nil"/>
              <w:tr2bl w:val="nil"/>
            </w:tcBorders>
            <w:vAlign w:val="center"/>
          </w:tcPr>
          <w:p w14:paraId="7F3496E8">
            <w:pPr>
              <w:pStyle w:val="36"/>
              <w:widowControl w:val="0"/>
              <w:wordWrap/>
              <w:snapToGrid/>
              <w:spacing w:line="240" w:lineRule="auto"/>
              <w:jc w:val="center"/>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预期性</w:t>
            </w:r>
          </w:p>
        </w:tc>
      </w:tr>
      <w:tr w14:paraId="27CD0D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006" w:type="dxa"/>
            <w:gridSpan w:val="2"/>
            <w:tcBorders>
              <w:tl2br w:val="nil"/>
              <w:tr2bl w:val="nil"/>
            </w:tcBorders>
            <w:vAlign w:val="center"/>
          </w:tcPr>
          <w:p w14:paraId="0B4E7446">
            <w:pPr>
              <w:pStyle w:val="36"/>
              <w:widowControl w:val="0"/>
              <w:wordWrap/>
              <w:snapToGrid/>
              <w:spacing w:line="240" w:lineRule="auto"/>
              <w:jc w:val="left"/>
              <w:textAlignment w:val="auto"/>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13.养老机构护理型床位占比（%）</w:t>
            </w:r>
          </w:p>
        </w:tc>
        <w:tc>
          <w:tcPr>
            <w:tcW w:w="1350" w:type="dxa"/>
            <w:tcBorders>
              <w:tl2br w:val="nil"/>
              <w:tr2bl w:val="nil"/>
            </w:tcBorders>
            <w:vAlign w:val="center"/>
          </w:tcPr>
          <w:p w14:paraId="3483D791">
            <w:pPr>
              <w:widowControl w:val="0"/>
              <w:wordWrap/>
              <w:snapToGrid/>
              <w:spacing w:line="240" w:lineRule="auto"/>
              <w:jc w:val="center"/>
              <w:textAlignment w:val="auto"/>
              <w:rPr>
                <w:rFonts w:hint="eastAsia" w:ascii="仿宋" w:hAnsi="仿宋" w:eastAsia="仿宋" w:cs="仿宋"/>
                <w:color w:val="auto"/>
                <w:sz w:val="21"/>
                <w:szCs w:val="21"/>
                <w:lang w:val="en-US" w:eastAsia="zh-CN"/>
              </w:rPr>
            </w:pPr>
            <w:r>
              <w:rPr>
                <w:rFonts w:hint="eastAsia" w:ascii="仿宋_GB2312" w:eastAsia="仿宋_GB2312"/>
                <w:color w:val="auto"/>
                <w:kern w:val="2"/>
                <w:sz w:val="21"/>
                <w:szCs w:val="22"/>
                <w:highlight w:val="none"/>
                <w:lang w:val="en-US" w:eastAsia="zh-CN" w:bidi="ar-SA"/>
              </w:rPr>
              <w:t>-</w:t>
            </w:r>
          </w:p>
        </w:tc>
        <w:tc>
          <w:tcPr>
            <w:tcW w:w="1395" w:type="dxa"/>
            <w:tcBorders>
              <w:tl2br w:val="nil"/>
              <w:tr2bl w:val="nil"/>
            </w:tcBorders>
            <w:vAlign w:val="center"/>
          </w:tcPr>
          <w:p w14:paraId="1D01157E">
            <w:pPr>
              <w:pStyle w:val="36"/>
              <w:widowControl w:val="0"/>
              <w:wordWrap/>
              <w:snapToGrid/>
              <w:spacing w:line="240" w:lineRule="auto"/>
              <w:jc w:val="center"/>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不低于省市下达目标</w:t>
            </w:r>
          </w:p>
        </w:tc>
        <w:tc>
          <w:tcPr>
            <w:tcW w:w="1320" w:type="dxa"/>
            <w:tcBorders>
              <w:tl2br w:val="nil"/>
              <w:tr2bl w:val="nil"/>
            </w:tcBorders>
            <w:vAlign w:val="center"/>
          </w:tcPr>
          <w:p w14:paraId="1F49BC8E">
            <w:pPr>
              <w:widowControl w:val="0"/>
              <w:wordWrap/>
              <w:snapToGrid/>
              <w:spacing w:line="240" w:lineRule="auto"/>
              <w:jc w:val="center"/>
              <w:textAlignment w:val="auto"/>
              <w:rPr>
                <w:rFonts w:hint="default" w:ascii="仿宋" w:hAnsi="仿宋" w:eastAsia="仿宋" w:cs="仿宋"/>
                <w:color w:val="auto"/>
                <w:sz w:val="21"/>
                <w:szCs w:val="21"/>
                <w:highlight w:val="none"/>
                <w:lang w:val="en-US" w:eastAsia="zh-CN"/>
              </w:rPr>
            </w:pPr>
            <w:r>
              <w:rPr>
                <w:rFonts w:hint="eastAsia" w:ascii="仿宋_GB2312" w:eastAsia="仿宋_GB2312"/>
                <w:color w:val="auto"/>
                <w:kern w:val="2"/>
                <w:sz w:val="21"/>
                <w:szCs w:val="22"/>
                <w:highlight w:val="none"/>
                <w:lang w:val="en-US" w:eastAsia="zh-CN" w:bidi="ar-SA"/>
              </w:rPr>
              <w:t>-</w:t>
            </w:r>
          </w:p>
        </w:tc>
        <w:tc>
          <w:tcPr>
            <w:tcW w:w="1065" w:type="dxa"/>
            <w:tcBorders>
              <w:tl2br w:val="nil"/>
              <w:tr2bl w:val="nil"/>
            </w:tcBorders>
            <w:vAlign w:val="center"/>
          </w:tcPr>
          <w:p w14:paraId="2F51ECB4">
            <w:pPr>
              <w:pStyle w:val="36"/>
              <w:widowControl w:val="0"/>
              <w:wordWrap/>
              <w:snapToGrid/>
              <w:spacing w:line="240" w:lineRule="auto"/>
              <w:jc w:val="center"/>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预期性</w:t>
            </w:r>
          </w:p>
        </w:tc>
      </w:tr>
      <w:tr w14:paraId="56491D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006" w:type="dxa"/>
            <w:gridSpan w:val="2"/>
            <w:tcBorders>
              <w:tl2br w:val="nil"/>
              <w:tr2bl w:val="nil"/>
            </w:tcBorders>
            <w:vAlign w:val="center"/>
          </w:tcPr>
          <w:p w14:paraId="1BD8326A">
            <w:pPr>
              <w:pStyle w:val="36"/>
              <w:widowControl w:val="0"/>
              <w:wordWrap/>
              <w:snapToGrid/>
              <w:spacing w:line="240" w:lineRule="auto"/>
              <w:jc w:val="left"/>
              <w:textAlignment w:val="auto"/>
              <w:rPr>
                <w:rFonts w:hint="eastAsia" w:ascii="仿宋" w:hAnsi="仿宋" w:eastAsia="仿宋" w:cs="仿宋"/>
                <w:color w:val="auto"/>
                <w:sz w:val="21"/>
                <w:szCs w:val="21"/>
                <w:lang w:eastAsia="zh-CN"/>
              </w:rPr>
            </w:pPr>
            <w:r>
              <w:rPr>
                <w:rFonts w:hint="eastAsia" w:ascii="仿宋" w:hAnsi="仿宋" w:eastAsia="仿宋" w:cs="仿宋"/>
                <w:color w:val="auto"/>
                <w:sz w:val="21"/>
                <w:szCs w:val="21"/>
                <w:lang w:val="en-US" w:eastAsia="zh-CN"/>
              </w:rPr>
              <w:t>14.3岁以下婴幼儿入托率提高</w:t>
            </w:r>
            <w:r>
              <w:rPr>
                <w:rFonts w:hint="eastAsia" w:ascii="仿宋" w:hAnsi="仿宋" w:eastAsia="仿宋" w:cs="仿宋"/>
                <w:color w:val="auto"/>
                <w:sz w:val="21"/>
                <w:szCs w:val="21"/>
                <w:lang w:eastAsia="zh-CN"/>
              </w:rPr>
              <w:t>（</w:t>
            </w:r>
            <w:r>
              <w:rPr>
                <w:rFonts w:hint="eastAsia" w:ascii="仿宋" w:hAnsi="仿宋" w:eastAsia="仿宋" w:cs="仿宋"/>
                <w:color w:val="auto"/>
                <w:sz w:val="21"/>
                <w:szCs w:val="21"/>
                <w:lang w:val="en-US" w:eastAsia="zh-CN"/>
              </w:rPr>
              <w:t>百分点</w:t>
            </w:r>
            <w:r>
              <w:rPr>
                <w:rFonts w:hint="eastAsia" w:ascii="仿宋" w:hAnsi="仿宋" w:eastAsia="仿宋" w:cs="仿宋"/>
                <w:color w:val="auto"/>
                <w:sz w:val="21"/>
                <w:szCs w:val="21"/>
                <w:lang w:eastAsia="zh-CN"/>
              </w:rPr>
              <w:t>）</w:t>
            </w:r>
          </w:p>
        </w:tc>
        <w:tc>
          <w:tcPr>
            <w:tcW w:w="1350" w:type="dxa"/>
            <w:tcBorders>
              <w:tl2br w:val="nil"/>
              <w:tr2bl w:val="nil"/>
            </w:tcBorders>
            <w:vAlign w:val="center"/>
          </w:tcPr>
          <w:p w14:paraId="24F732BE">
            <w:pPr>
              <w:widowControl w:val="0"/>
              <w:wordWrap/>
              <w:snapToGrid/>
              <w:spacing w:line="240" w:lineRule="auto"/>
              <w:jc w:val="center"/>
              <w:textAlignment w:val="auto"/>
              <w:rPr>
                <w:rFonts w:hint="default" w:ascii="仿宋" w:hAnsi="仿宋" w:eastAsia="仿宋" w:cs="仿宋"/>
                <w:color w:val="auto"/>
                <w:sz w:val="21"/>
                <w:szCs w:val="21"/>
                <w:lang w:val="en-US" w:eastAsia="zh-CN"/>
              </w:rPr>
            </w:pPr>
            <w:r>
              <w:rPr>
                <w:rFonts w:hint="eastAsia" w:ascii="仿宋_GB2312" w:eastAsia="仿宋_GB2312"/>
                <w:color w:val="auto"/>
                <w:kern w:val="2"/>
                <w:sz w:val="21"/>
                <w:szCs w:val="22"/>
                <w:highlight w:val="none"/>
                <w:lang w:val="en-US" w:eastAsia="zh-CN" w:bidi="ar-SA"/>
              </w:rPr>
              <w:t>3.9</w:t>
            </w:r>
          </w:p>
        </w:tc>
        <w:tc>
          <w:tcPr>
            <w:tcW w:w="1395" w:type="dxa"/>
            <w:tcBorders>
              <w:tl2br w:val="nil"/>
              <w:tr2bl w:val="nil"/>
            </w:tcBorders>
            <w:vAlign w:val="center"/>
          </w:tcPr>
          <w:p w14:paraId="1D33C59E">
            <w:pPr>
              <w:pStyle w:val="36"/>
              <w:widowControl w:val="0"/>
              <w:wordWrap/>
              <w:snapToGrid/>
              <w:spacing w:line="240" w:lineRule="auto"/>
              <w:jc w:val="center"/>
              <w:textAlignment w:val="auto"/>
              <w:rPr>
                <w:rFonts w:hint="default" w:ascii="仿宋" w:hAnsi="仿宋" w:eastAsia="仿宋" w:cs="仿宋"/>
                <w:color w:val="auto"/>
                <w:sz w:val="21"/>
                <w:szCs w:val="21"/>
                <w:highlight w:val="none"/>
                <w:lang w:val="en-US" w:eastAsia="zh-CN"/>
              </w:rPr>
            </w:pPr>
            <w:r>
              <w:rPr>
                <w:rFonts w:hint="eastAsia" w:ascii="仿宋_GB2312" w:eastAsia="仿宋_GB2312"/>
                <w:color w:val="auto"/>
                <w:kern w:val="2"/>
                <w:sz w:val="21"/>
                <w:szCs w:val="22"/>
                <w:highlight w:val="none"/>
                <w:lang w:val="en-US" w:eastAsia="zh-CN" w:bidi="ar-SA"/>
              </w:rPr>
              <w:t>-</w:t>
            </w:r>
          </w:p>
        </w:tc>
        <w:tc>
          <w:tcPr>
            <w:tcW w:w="1320" w:type="dxa"/>
            <w:tcBorders>
              <w:tl2br w:val="nil"/>
              <w:tr2bl w:val="nil"/>
            </w:tcBorders>
            <w:vAlign w:val="center"/>
          </w:tcPr>
          <w:p w14:paraId="62EF56FC">
            <w:pPr>
              <w:pStyle w:val="36"/>
              <w:widowControl w:val="0"/>
              <w:wordWrap/>
              <w:snapToGrid/>
              <w:spacing w:line="240" w:lineRule="auto"/>
              <w:jc w:val="center"/>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[6]</w:t>
            </w:r>
          </w:p>
        </w:tc>
        <w:tc>
          <w:tcPr>
            <w:tcW w:w="1065" w:type="dxa"/>
            <w:tcBorders>
              <w:tl2br w:val="nil"/>
              <w:tr2bl w:val="nil"/>
            </w:tcBorders>
            <w:vAlign w:val="center"/>
          </w:tcPr>
          <w:p w14:paraId="6B15ADA0">
            <w:pPr>
              <w:pStyle w:val="36"/>
              <w:widowControl w:val="0"/>
              <w:wordWrap/>
              <w:snapToGrid/>
              <w:spacing w:line="240" w:lineRule="auto"/>
              <w:jc w:val="center"/>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预期性</w:t>
            </w:r>
          </w:p>
        </w:tc>
      </w:tr>
      <w:tr w14:paraId="0670B2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006" w:type="dxa"/>
            <w:gridSpan w:val="2"/>
            <w:tcBorders>
              <w:tl2br w:val="nil"/>
              <w:tr2bl w:val="nil"/>
            </w:tcBorders>
            <w:vAlign w:val="center"/>
          </w:tcPr>
          <w:p w14:paraId="7DC081DD">
            <w:pPr>
              <w:pStyle w:val="36"/>
              <w:widowControl w:val="0"/>
              <w:wordWrap/>
              <w:snapToGrid/>
              <w:spacing w:line="240" w:lineRule="auto"/>
              <w:jc w:val="left"/>
              <w:textAlignment w:val="auto"/>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15.人均预期寿命（岁）</w:t>
            </w:r>
          </w:p>
        </w:tc>
        <w:tc>
          <w:tcPr>
            <w:tcW w:w="1350" w:type="dxa"/>
            <w:tcBorders>
              <w:tl2br w:val="nil"/>
              <w:tr2bl w:val="nil"/>
            </w:tcBorders>
            <w:vAlign w:val="center"/>
          </w:tcPr>
          <w:p w14:paraId="7DBD4B75">
            <w:pPr>
              <w:pStyle w:val="36"/>
              <w:widowControl w:val="0"/>
              <w:wordWrap/>
              <w:snapToGrid/>
              <w:spacing w:line="240" w:lineRule="auto"/>
              <w:jc w:val="center"/>
              <w:textAlignment w:val="auto"/>
              <w:rPr>
                <w:rFonts w:hint="eastAsia" w:ascii="仿宋" w:hAnsi="仿宋" w:eastAsia="仿宋" w:cs="仿宋"/>
                <w:color w:val="auto"/>
                <w:sz w:val="21"/>
                <w:szCs w:val="21"/>
                <w:lang w:val="en-US" w:eastAsia="zh-CN"/>
              </w:rPr>
            </w:pPr>
            <w:r>
              <w:rPr>
                <w:rFonts w:hint="eastAsia" w:ascii="仿宋_GB2312" w:eastAsia="仿宋_GB2312"/>
                <w:color w:val="auto"/>
                <w:kern w:val="2"/>
                <w:sz w:val="21"/>
                <w:szCs w:val="22"/>
                <w:highlight w:val="none"/>
                <w:lang w:val="en-US" w:eastAsia="zh-CN" w:bidi="ar-SA"/>
              </w:rPr>
              <w:t>-</w:t>
            </w:r>
          </w:p>
        </w:tc>
        <w:tc>
          <w:tcPr>
            <w:tcW w:w="1395" w:type="dxa"/>
            <w:tcBorders>
              <w:tl2br w:val="nil"/>
              <w:tr2bl w:val="nil"/>
            </w:tcBorders>
            <w:vAlign w:val="center"/>
          </w:tcPr>
          <w:p w14:paraId="57EDA04D">
            <w:pPr>
              <w:pStyle w:val="36"/>
              <w:widowControl w:val="0"/>
              <w:wordWrap/>
              <w:snapToGrid/>
              <w:spacing w:line="240" w:lineRule="auto"/>
              <w:jc w:val="center"/>
              <w:textAlignment w:val="auto"/>
              <w:rPr>
                <w:rFonts w:hint="default"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79.5</w:t>
            </w:r>
          </w:p>
        </w:tc>
        <w:tc>
          <w:tcPr>
            <w:tcW w:w="1320" w:type="dxa"/>
            <w:tcBorders>
              <w:tl2br w:val="nil"/>
              <w:tr2bl w:val="nil"/>
            </w:tcBorders>
            <w:vAlign w:val="center"/>
          </w:tcPr>
          <w:p w14:paraId="13E7F7BA">
            <w:pPr>
              <w:pStyle w:val="36"/>
              <w:widowControl w:val="0"/>
              <w:wordWrap/>
              <w:snapToGrid/>
              <w:spacing w:line="240" w:lineRule="auto"/>
              <w:jc w:val="center"/>
              <w:textAlignment w:val="auto"/>
              <w:rPr>
                <w:rFonts w:hint="eastAsia" w:ascii="仿宋" w:hAnsi="仿宋" w:eastAsia="仿宋" w:cs="仿宋"/>
                <w:color w:val="auto"/>
                <w:sz w:val="21"/>
                <w:szCs w:val="21"/>
                <w:highlight w:val="none"/>
                <w:lang w:val="en-US" w:eastAsia="zh-CN"/>
              </w:rPr>
            </w:pPr>
            <w:r>
              <w:rPr>
                <w:rFonts w:hint="eastAsia" w:ascii="仿宋_GB2312" w:eastAsia="仿宋_GB2312"/>
                <w:color w:val="auto"/>
                <w:kern w:val="2"/>
                <w:sz w:val="21"/>
                <w:szCs w:val="22"/>
                <w:highlight w:val="none"/>
                <w:lang w:val="en-US" w:eastAsia="zh-CN" w:bidi="ar-SA"/>
              </w:rPr>
              <w:t>-</w:t>
            </w:r>
          </w:p>
        </w:tc>
        <w:tc>
          <w:tcPr>
            <w:tcW w:w="1065" w:type="dxa"/>
            <w:tcBorders>
              <w:tl2br w:val="nil"/>
              <w:tr2bl w:val="nil"/>
            </w:tcBorders>
            <w:vAlign w:val="center"/>
          </w:tcPr>
          <w:p w14:paraId="7E86691F">
            <w:pPr>
              <w:pStyle w:val="36"/>
              <w:widowControl w:val="0"/>
              <w:wordWrap/>
              <w:snapToGrid/>
              <w:spacing w:line="240" w:lineRule="auto"/>
              <w:jc w:val="center"/>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预期性</w:t>
            </w:r>
          </w:p>
        </w:tc>
      </w:tr>
      <w:tr w14:paraId="16F1F8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36" w:type="dxa"/>
            <w:gridSpan w:val="6"/>
            <w:tcBorders>
              <w:tl2br w:val="nil"/>
              <w:tr2bl w:val="nil"/>
            </w:tcBorders>
            <w:vAlign w:val="center"/>
          </w:tcPr>
          <w:p w14:paraId="18F9200B">
            <w:pPr>
              <w:pStyle w:val="36"/>
              <w:widowControl w:val="0"/>
              <w:wordWrap/>
              <w:snapToGrid/>
              <w:spacing w:line="240" w:lineRule="auto"/>
              <w:jc w:val="center"/>
              <w:textAlignment w:val="auto"/>
              <w:rPr>
                <w:rFonts w:hint="eastAsia" w:ascii="仿宋" w:hAnsi="仿宋" w:eastAsia="仿宋" w:cs="仿宋"/>
                <w:b/>
                <w:bCs/>
                <w:color w:val="auto"/>
                <w:sz w:val="21"/>
                <w:szCs w:val="21"/>
                <w:highlight w:val="none"/>
                <w:lang w:val="en-US" w:eastAsia="zh-CN"/>
              </w:rPr>
            </w:pPr>
            <w:r>
              <w:rPr>
                <w:rFonts w:hint="eastAsia" w:ascii="仿宋" w:hAnsi="仿宋" w:eastAsia="仿宋" w:cs="仿宋"/>
                <w:b/>
                <w:bCs/>
                <w:color w:val="auto"/>
                <w:sz w:val="21"/>
                <w:szCs w:val="21"/>
                <w:lang w:val="en-US" w:eastAsia="zh-CN"/>
              </w:rPr>
              <w:t>四、绿色低碳</w:t>
            </w:r>
          </w:p>
        </w:tc>
      </w:tr>
      <w:tr w14:paraId="09B04B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006" w:type="dxa"/>
            <w:gridSpan w:val="2"/>
            <w:tcBorders>
              <w:tl2br w:val="nil"/>
              <w:tr2bl w:val="nil"/>
            </w:tcBorders>
            <w:vAlign w:val="center"/>
          </w:tcPr>
          <w:p w14:paraId="4DB09563">
            <w:pPr>
              <w:pStyle w:val="36"/>
              <w:widowControl w:val="0"/>
              <w:wordWrap/>
              <w:snapToGrid/>
              <w:spacing w:line="240" w:lineRule="auto"/>
              <w:jc w:val="left"/>
              <w:textAlignment w:val="auto"/>
              <w:rPr>
                <w:rFonts w:hint="eastAsia" w:ascii="仿宋" w:hAnsi="仿宋" w:eastAsia="仿宋" w:cs="仿宋"/>
                <w:color w:val="auto"/>
                <w:sz w:val="21"/>
                <w:szCs w:val="21"/>
                <w:lang w:eastAsia="zh-CN"/>
              </w:rPr>
            </w:pPr>
            <w:r>
              <w:rPr>
                <w:rFonts w:hint="eastAsia" w:ascii="仿宋" w:hAnsi="仿宋" w:eastAsia="仿宋" w:cs="仿宋"/>
                <w:color w:val="auto"/>
                <w:sz w:val="21"/>
                <w:szCs w:val="21"/>
                <w:lang w:val="en-US" w:eastAsia="zh-CN"/>
              </w:rPr>
              <w:t>16.</w:t>
            </w:r>
            <w:r>
              <w:rPr>
                <w:rFonts w:hint="eastAsia" w:ascii="仿宋" w:hAnsi="仿宋" w:eastAsia="仿宋" w:cs="仿宋"/>
                <w:color w:val="auto"/>
                <w:sz w:val="21"/>
                <w:szCs w:val="21"/>
              </w:rPr>
              <w:t>单位</w:t>
            </w:r>
            <w:r>
              <w:rPr>
                <w:rFonts w:hint="eastAsia" w:ascii="仿宋" w:hAnsi="仿宋" w:eastAsia="仿宋" w:cs="仿宋"/>
                <w:color w:val="auto"/>
                <w:sz w:val="21"/>
                <w:szCs w:val="21"/>
                <w:lang w:val="en-US" w:eastAsia="zh-CN"/>
              </w:rPr>
              <w:t>地区生产总值</w:t>
            </w:r>
            <w:r>
              <w:rPr>
                <w:rFonts w:hint="eastAsia" w:ascii="仿宋" w:hAnsi="仿宋" w:eastAsia="仿宋" w:cs="仿宋"/>
                <w:color w:val="auto"/>
                <w:sz w:val="21"/>
                <w:szCs w:val="21"/>
              </w:rPr>
              <w:t>二氧化碳排放</w:t>
            </w:r>
            <w:r>
              <w:rPr>
                <w:rFonts w:hint="eastAsia" w:ascii="仿宋" w:hAnsi="仿宋" w:eastAsia="仿宋" w:cs="仿宋"/>
                <w:color w:val="auto"/>
                <w:sz w:val="21"/>
                <w:szCs w:val="21"/>
                <w:lang w:val="en-US" w:eastAsia="zh-CN"/>
              </w:rPr>
              <w:t>降低</w:t>
            </w:r>
            <w:r>
              <w:rPr>
                <w:rFonts w:hint="eastAsia" w:ascii="仿宋" w:hAnsi="仿宋" w:eastAsia="仿宋" w:cs="仿宋"/>
                <w:color w:val="auto"/>
                <w:sz w:val="21"/>
                <w:szCs w:val="21"/>
                <w:lang w:eastAsia="zh-CN"/>
              </w:rPr>
              <w:t>（</w:t>
            </w:r>
            <w:r>
              <w:rPr>
                <w:rFonts w:hint="eastAsia" w:ascii="仿宋" w:hAnsi="仿宋" w:eastAsia="仿宋" w:cs="仿宋"/>
                <w:color w:val="auto"/>
                <w:sz w:val="21"/>
                <w:szCs w:val="21"/>
                <w:lang w:val="en-US" w:eastAsia="zh-CN"/>
              </w:rPr>
              <w:t>%</w:t>
            </w:r>
            <w:r>
              <w:rPr>
                <w:rFonts w:hint="eastAsia" w:ascii="仿宋" w:hAnsi="仿宋" w:eastAsia="仿宋" w:cs="仿宋"/>
                <w:color w:val="auto"/>
                <w:sz w:val="21"/>
                <w:szCs w:val="21"/>
                <w:lang w:eastAsia="zh-CN"/>
              </w:rPr>
              <w:t>）</w:t>
            </w:r>
          </w:p>
        </w:tc>
        <w:tc>
          <w:tcPr>
            <w:tcW w:w="1350" w:type="dxa"/>
            <w:tcBorders>
              <w:tl2br w:val="nil"/>
              <w:tr2bl w:val="nil"/>
            </w:tcBorders>
            <w:vAlign w:val="center"/>
          </w:tcPr>
          <w:p w14:paraId="16093E9D">
            <w:pPr>
              <w:widowControl w:val="0"/>
              <w:wordWrap/>
              <w:snapToGrid/>
              <w:spacing w:line="240" w:lineRule="auto"/>
              <w:jc w:val="center"/>
              <w:textAlignment w:val="auto"/>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完成目标</w:t>
            </w:r>
          </w:p>
        </w:tc>
        <w:tc>
          <w:tcPr>
            <w:tcW w:w="1395" w:type="dxa"/>
            <w:tcBorders>
              <w:tl2br w:val="nil"/>
              <w:tr2bl w:val="nil"/>
            </w:tcBorders>
            <w:vAlign w:val="center"/>
          </w:tcPr>
          <w:p w14:paraId="125B4222">
            <w:pPr>
              <w:pStyle w:val="36"/>
              <w:widowControl w:val="0"/>
              <w:wordWrap/>
              <w:snapToGrid/>
              <w:spacing w:line="240" w:lineRule="auto"/>
              <w:jc w:val="center"/>
              <w:textAlignment w:val="auto"/>
              <w:rPr>
                <w:rFonts w:hint="default"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不低于省市下达目标</w:t>
            </w:r>
          </w:p>
        </w:tc>
        <w:tc>
          <w:tcPr>
            <w:tcW w:w="1320" w:type="dxa"/>
            <w:tcBorders>
              <w:tl2br w:val="nil"/>
              <w:tr2bl w:val="nil"/>
            </w:tcBorders>
            <w:vAlign w:val="center"/>
          </w:tcPr>
          <w:p w14:paraId="22ED41D0">
            <w:pPr>
              <w:widowControl w:val="0"/>
              <w:wordWrap/>
              <w:snapToGrid/>
              <w:spacing w:line="240" w:lineRule="auto"/>
              <w:jc w:val="center"/>
              <w:textAlignment w:val="auto"/>
              <w:rPr>
                <w:rFonts w:hint="eastAsia" w:ascii="仿宋" w:hAnsi="仿宋" w:eastAsia="仿宋" w:cs="仿宋"/>
                <w:color w:val="auto"/>
                <w:sz w:val="21"/>
                <w:szCs w:val="21"/>
                <w:highlight w:val="none"/>
                <w:lang w:val="en-US" w:eastAsia="zh-CN"/>
              </w:rPr>
            </w:pPr>
            <w:r>
              <w:rPr>
                <w:rFonts w:hint="eastAsia" w:ascii="仿宋_GB2312" w:eastAsia="仿宋_GB2312"/>
                <w:color w:val="auto"/>
                <w:kern w:val="2"/>
                <w:sz w:val="21"/>
                <w:szCs w:val="22"/>
                <w:highlight w:val="none"/>
                <w:lang w:val="en-US" w:eastAsia="zh-CN" w:bidi="ar-SA"/>
              </w:rPr>
              <w:t>-</w:t>
            </w:r>
          </w:p>
        </w:tc>
        <w:tc>
          <w:tcPr>
            <w:tcW w:w="1065" w:type="dxa"/>
            <w:tcBorders>
              <w:tl2br w:val="nil"/>
              <w:tr2bl w:val="nil"/>
            </w:tcBorders>
            <w:vAlign w:val="center"/>
          </w:tcPr>
          <w:p w14:paraId="6E153982">
            <w:pPr>
              <w:pStyle w:val="36"/>
              <w:widowControl w:val="0"/>
              <w:wordWrap/>
              <w:snapToGrid/>
              <w:spacing w:line="240" w:lineRule="auto"/>
              <w:jc w:val="center"/>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约束性</w:t>
            </w:r>
          </w:p>
        </w:tc>
      </w:tr>
      <w:tr w14:paraId="1E1D7E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006" w:type="dxa"/>
            <w:gridSpan w:val="2"/>
            <w:tcBorders>
              <w:tl2br w:val="nil"/>
              <w:tr2bl w:val="nil"/>
            </w:tcBorders>
            <w:vAlign w:val="center"/>
          </w:tcPr>
          <w:p w14:paraId="7C40687F">
            <w:pPr>
              <w:pStyle w:val="36"/>
              <w:widowControl w:val="0"/>
              <w:wordWrap/>
              <w:snapToGrid/>
              <w:spacing w:line="240" w:lineRule="auto"/>
              <w:jc w:val="left"/>
              <w:textAlignment w:val="auto"/>
              <w:rPr>
                <w:rFonts w:hint="eastAsia" w:ascii="仿宋" w:hAnsi="仿宋" w:eastAsia="仿宋" w:cs="仿宋"/>
                <w:color w:val="auto"/>
                <w:sz w:val="21"/>
                <w:szCs w:val="21"/>
                <w:lang w:eastAsia="zh-CN"/>
              </w:rPr>
            </w:pPr>
            <w:r>
              <w:rPr>
                <w:rFonts w:hint="eastAsia" w:ascii="仿宋" w:hAnsi="仿宋" w:eastAsia="仿宋" w:cs="仿宋"/>
                <w:color w:val="auto"/>
                <w:sz w:val="21"/>
                <w:szCs w:val="21"/>
                <w:lang w:val="en-US" w:eastAsia="zh-CN"/>
              </w:rPr>
              <w:t>17.非化石能源占能源消耗总量比重</w:t>
            </w:r>
            <w:r>
              <w:rPr>
                <w:rFonts w:hint="eastAsia" w:ascii="仿宋" w:hAnsi="仿宋" w:eastAsia="仿宋" w:cs="仿宋"/>
                <w:color w:val="auto"/>
                <w:sz w:val="21"/>
                <w:szCs w:val="21"/>
                <w:lang w:eastAsia="zh-CN"/>
              </w:rPr>
              <w:t>（</w:t>
            </w:r>
            <w:r>
              <w:rPr>
                <w:rFonts w:hint="eastAsia" w:ascii="仿宋" w:hAnsi="仿宋" w:eastAsia="仿宋" w:cs="仿宋"/>
                <w:color w:val="auto"/>
                <w:sz w:val="21"/>
                <w:szCs w:val="21"/>
                <w:lang w:val="en-US" w:eastAsia="zh-CN"/>
              </w:rPr>
              <w:t>%</w:t>
            </w:r>
            <w:r>
              <w:rPr>
                <w:rFonts w:hint="eastAsia" w:ascii="仿宋" w:hAnsi="仿宋" w:eastAsia="仿宋" w:cs="仿宋"/>
                <w:color w:val="auto"/>
                <w:sz w:val="21"/>
                <w:szCs w:val="21"/>
                <w:lang w:eastAsia="zh-CN"/>
              </w:rPr>
              <w:t>）</w:t>
            </w:r>
          </w:p>
        </w:tc>
        <w:tc>
          <w:tcPr>
            <w:tcW w:w="1350" w:type="dxa"/>
            <w:tcBorders>
              <w:tl2br w:val="nil"/>
              <w:tr2bl w:val="nil"/>
            </w:tcBorders>
            <w:vAlign w:val="center"/>
          </w:tcPr>
          <w:p w14:paraId="75B567E5">
            <w:pPr>
              <w:widowControl w:val="0"/>
              <w:wordWrap/>
              <w:snapToGrid/>
              <w:spacing w:line="240" w:lineRule="auto"/>
              <w:jc w:val="center"/>
              <w:textAlignment w:val="auto"/>
              <w:rPr>
                <w:rFonts w:hint="eastAsia" w:ascii="仿宋" w:hAnsi="仿宋" w:eastAsia="仿宋" w:cs="仿宋"/>
                <w:color w:val="auto"/>
                <w:sz w:val="21"/>
                <w:szCs w:val="21"/>
                <w:lang w:val="en-US" w:eastAsia="zh-CN"/>
              </w:rPr>
            </w:pPr>
            <w:r>
              <w:rPr>
                <w:rFonts w:hint="eastAsia" w:ascii="仿宋_GB2312" w:eastAsia="仿宋_GB2312"/>
                <w:color w:val="auto"/>
                <w:kern w:val="2"/>
                <w:sz w:val="21"/>
                <w:szCs w:val="22"/>
                <w:highlight w:val="none"/>
                <w:lang w:val="en-US" w:eastAsia="zh-CN" w:bidi="ar-SA"/>
              </w:rPr>
              <w:t>-</w:t>
            </w:r>
          </w:p>
        </w:tc>
        <w:tc>
          <w:tcPr>
            <w:tcW w:w="1395" w:type="dxa"/>
            <w:tcBorders>
              <w:tl2br w:val="nil"/>
              <w:tr2bl w:val="nil"/>
            </w:tcBorders>
            <w:vAlign w:val="center"/>
          </w:tcPr>
          <w:p w14:paraId="287B3F41">
            <w:pPr>
              <w:pStyle w:val="36"/>
              <w:widowControl w:val="0"/>
              <w:wordWrap/>
              <w:snapToGrid/>
              <w:spacing w:line="240" w:lineRule="auto"/>
              <w:jc w:val="center"/>
              <w:textAlignment w:val="auto"/>
              <w:rPr>
                <w:rFonts w:hint="eastAsia" w:ascii="仿宋" w:hAnsi="仿宋" w:eastAsia="仿宋" w:cs="仿宋"/>
                <w:color w:val="auto"/>
                <w:sz w:val="21"/>
                <w:szCs w:val="21"/>
                <w:highlight w:val="none"/>
                <w:lang w:val="en-US" w:eastAsia="zh-CN"/>
              </w:rPr>
            </w:pPr>
            <w:r>
              <w:rPr>
                <w:rFonts w:hint="eastAsia" w:ascii="仿宋_GB2312" w:eastAsia="仿宋_GB2312"/>
                <w:color w:val="auto"/>
                <w:kern w:val="2"/>
                <w:sz w:val="21"/>
                <w:szCs w:val="22"/>
                <w:highlight w:val="none"/>
                <w:lang w:val="en-US" w:eastAsia="zh-CN" w:bidi="ar-SA"/>
              </w:rPr>
              <w:t>-</w:t>
            </w:r>
          </w:p>
        </w:tc>
        <w:tc>
          <w:tcPr>
            <w:tcW w:w="1320" w:type="dxa"/>
            <w:tcBorders>
              <w:tl2br w:val="nil"/>
              <w:tr2bl w:val="nil"/>
            </w:tcBorders>
            <w:vAlign w:val="center"/>
          </w:tcPr>
          <w:p w14:paraId="404C559B">
            <w:pPr>
              <w:widowControl w:val="0"/>
              <w:wordWrap/>
              <w:snapToGrid/>
              <w:spacing w:line="240" w:lineRule="auto"/>
              <w:jc w:val="center"/>
              <w:textAlignment w:val="auto"/>
              <w:rPr>
                <w:rFonts w:hint="eastAsia" w:ascii="仿宋" w:hAnsi="仿宋" w:eastAsia="仿宋" w:cs="仿宋"/>
                <w:color w:val="auto"/>
                <w:sz w:val="21"/>
                <w:szCs w:val="21"/>
                <w:highlight w:val="none"/>
                <w:lang w:val="en-US" w:eastAsia="zh-CN"/>
              </w:rPr>
            </w:pPr>
            <w:r>
              <w:rPr>
                <w:rFonts w:hint="eastAsia" w:ascii="仿宋_GB2312" w:eastAsia="仿宋_GB2312"/>
                <w:color w:val="auto"/>
                <w:kern w:val="2"/>
                <w:sz w:val="21"/>
                <w:szCs w:val="22"/>
                <w:highlight w:val="none"/>
                <w:lang w:val="en-US" w:eastAsia="zh-CN" w:bidi="ar-SA"/>
              </w:rPr>
              <w:t>-</w:t>
            </w:r>
          </w:p>
        </w:tc>
        <w:tc>
          <w:tcPr>
            <w:tcW w:w="1065" w:type="dxa"/>
            <w:tcBorders>
              <w:tl2br w:val="nil"/>
              <w:tr2bl w:val="nil"/>
            </w:tcBorders>
            <w:vAlign w:val="center"/>
          </w:tcPr>
          <w:p w14:paraId="292F0380">
            <w:pPr>
              <w:pStyle w:val="36"/>
              <w:widowControl w:val="0"/>
              <w:wordWrap/>
              <w:snapToGrid/>
              <w:spacing w:line="240" w:lineRule="auto"/>
              <w:jc w:val="center"/>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预期性</w:t>
            </w:r>
          </w:p>
        </w:tc>
      </w:tr>
      <w:tr w14:paraId="07D53D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006" w:type="dxa"/>
            <w:gridSpan w:val="2"/>
            <w:tcBorders>
              <w:tl2br w:val="nil"/>
              <w:tr2bl w:val="nil"/>
            </w:tcBorders>
            <w:vAlign w:val="center"/>
          </w:tcPr>
          <w:p w14:paraId="7BB92EA9">
            <w:pPr>
              <w:pStyle w:val="36"/>
              <w:widowControl w:val="0"/>
              <w:wordWrap/>
              <w:snapToGrid/>
              <w:spacing w:line="240" w:lineRule="auto"/>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18.细颗粒物（PM2.5）年平均浓度（微克/立方米）</w:t>
            </w:r>
          </w:p>
        </w:tc>
        <w:tc>
          <w:tcPr>
            <w:tcW w:w="1350" w:type="dxa"/>
            <w:tcBorders>
              <w:tl2br w:val="nil"/>
              <w:tr2bl w:val="nil"/>
            </w:tcBorders>
            <w:vAlign w:val="center"/>
          </w:tcPr>
          <w:p w14:paraId="330BF170">
            <w:pPr>
              <w:widowControl w:val="0"/>
              <w:wordWrap/>
              <w:snapToGrid/>
              <w:spacing w:line="240" w:lineRule="auto"/>
              <w:jc w:val="center"/>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完成目标</w:t>
            </w:r>
          </w:p>
        </w:tc>
        <w:tc>
          <w:tcPr>
            <w:tcW w:w="1395" w:type="dxa"/>
            <w:tcBorders>
              <w:tl2br w:val="nil"/>
              <w:tr2bl w:val="nil"/>
            </w:tcBorders>
            <w:vAlign w:val="center"/>
          </w:tcPr>
          <w:p w14:paraId="0EDC712F">
            <w:pPr>
              <w:pStyle w:val="36"/>
              <w:widowControl w:val="0"/>
              <w:wordWrap/>
              <w:snapToGrid/>
              <w:spacing w:line="240" w:lineRule="auto"/>
              <w:jc w:val="center"/>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不低于省市下达目标</w:t>
            </w:r>
          </w:p>
        </w:tc>
        <w:tc>
          <w:tcPr>
            <w:tcW w:w="1320" w:type="dxa"/>
            <w:tcBorders>
              <w:tl2br w:val="nil"/>
              <w:tr2bl w:val="nil"/>
            </w:tcBorders>
            <w:vAlign w:val="center"/>
          </w:tcPr>
          <w:p w14:paraId="07AE6DA8">
            <w:pPr>
              <w:widowControl w:val="0"/>
              <w:wordWrap/>
              <w:snapToGrid/>
              <w:spacing w:line="240" w:lineRule="auto"/>
              <w:jc w:val="center"/>
              <w:textAlignment w:val="auto"/>
              <w:rPr>
                <w:rFonts w:hint="eastAsia" w:ascii="仿宋" w:hAnsi="仿宋" w:eastAsia="仿宋" w:cs="仿宋"/>
                <w:color w:val="auto"/>
                <w:sz w:val="21"/>
                <w:szCs w:val="21"/>
                <w:highlight w:val="none"/>
                <w:lang w:val="en-US" w:eastAsia="zh-CN"/>
              </w:rPr>
            </w:pPr>
            <w:r>
              <w:rPr>
                <w:rFonts w:hint="eastAsia" w:ascii="仿宋_GB2312" w:eastAsia="仿宋_GB2312"/>
                <w:color w:val="auto"/>
                <w:kern w:val="2"/>
                <w:sz w:val="21"/>
                <w:szCs w:val="22"/>
                <w:highlight w:val="none"/>
                <w:lang w:val="en-US" w:eastAsia="zh-CN" w:bidi="ar-SA"/>
              </w:rPr>
              <w:t>-</w:t>
            </w:r>
          </w:p>
        </w:tc>
        <w:tc>
          <w:tcPr>
            <w:tcW w:w="1065" w:type="dxa"/>
            <w:tcBorders>
              <w:tl2br w:val="nil"/>
              <w:tr2bl w:val="nil"/>
            </w:tcBorders>
            <w:vAlign w:val="center"/>
          </w:tcPr>
          <w:p w14:paraId="7232C36B">
            <w:pPr>
              <w:pStyle w:val="36"/>
              <w:widowControl w:val="0"/>
              <w:wordWrap/>
              <w:snapToGrid/>
              <w:spacing w:line="240" w:lineRule="auto"/>
              <w:jc w:val="center"/>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约束性</w:t>
            </w:r>
          </w:p>
        </w:tc>
      </w:tr>
      <w:tr w14:paraId="49B9E2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006" w:type="dxa"/>
            <w:gridSpan w:val="2"/>
            <w:tcBorders>
              <w:tl2br w:val="nil"/>
              <w:tr2bl w:val="nil"/>
            </w:tcBorders>
            <w:vAlign w:val="center"/>
          </w:tcPr>
          <w:p w14:paraId="4ECFFD8D">
            <w:pPr>
              <w:pStyle w:val="36"/>
              <w:widowControl w:val="0"/>
              <w:wordWrap/>
              <w:snapToGrid/>
              <w:spacing w:line="240" w:lineRule="auto"/>
              <w:jc w:val="left"/>
              <w:textAlignment w:val="auto"/>
              <w:rPr>
                <w:rFonts w:hint="eastAsia" w:ascii="仿宋" w:hAnsi="仿宋" w:eastAsia="仿宋" w:cs="仿宋"/>
                <w:color w:val="auto"/>
                <w:sz w:val="21"/>
                <w:szCs w:val="21"/>
                <w:lang w:eastAsia="zh-CN"/>
              </w:rPr>
            </w:pPr>
            <w:r>
              <w:rPr>
                <w:rFonts w:hint="eastAsia" w:ascii="仿宋" w:hAnsi="仿宋" w:eastAsia="仿宋" w:cs="仿宋"/>
                <w:color w:val="auto"/>
                <w:sz w:val="21"/>
                <w:szCs w:val="21"/>
                <w:lang w:val="en-US" w:eastAsia="zh-CN"/>
              </w:rPr>
              <w:t>19.优良水体</w:t>
            </w:r>
            <w:r>
              <w:rPr>
                <w:rFonts w:hint="eastAsia" w:ascii="仿宋" w:hAnsi="仿宋" w:eastAsia="仿宋" w:cs="仿宋"/>
                <w:color w:val="auto"/>
                <w:sz w:val="21"/>
                <w:szCs w:val="21"/>
              </w:rPr>
              <w:t>比例</w:t>
            </w:r>
            <w:r>
              <w:rPr>
                <w:rFonts w:hint="eastAsia" w:ascii="仿宋" w:hAnsi="仿宋" w:eastAsia="仿宋" w:cs="仿宋"/>
                <w:color w:val="auto"/>
                <w:sz w:val="21"/>
                <w:szCs w:val="21"/>
                <w:lang w:eastAsia="zh-CN"/>
              </w:rPr>
              <w:t>（</w:t>
            </w:r>
            <w:r>
              <w:rPr>
                <w:rFonts w:hint="eastAsia" w:ascii="仿宋" w:hAnsi="仿宋" w:eastAsia="仿宋" w:cs="仿宋"/>
                <w:color w:val="auto"/>
                <w:sz w:val="21"/>
                <w:szCs w:val="21"/>
                <w:lang w:val="en-US" w:eastAsia="zh-CN"/>
              </w:rPr>
              <w:t>%</w:t>
            </w:r>
            <w:r>
              <w:rPr>
                <w:rFonts w:hint="eastAsia" w:ascii="仿宋" w:hAnsi="仿宋" w:eastAsia="仿宋" w:cs="仿宋"/>
                <w:color w:val="auto"/>
                <w:sz w:val="21"/>
                <w:szCs w:val="21"/>
                <w:lang w:eastAsia="zh-CN"/>
              </w:rPr>
              <w:t>）</w:t>
            </w:r>
          </w:p>
        </w:tc>
        <w:tc>
          <w:tcPr>
            <w:tcW w:w="1350" w:type="dxa"/>
            <w:tcBorders>
              <w:tl2br w:val="nil"/>
              <w:tr2bl w:val="nil"/>
            </w:tcBorders>
            <w:vAlign w:val="center"/>
          </w:tcPr>
          <w:p w14:paraId="139D6619">
            <w:pPr>
              <w:widowControl w:val="0"/>
              <w:wordWrap/>
              <w:snapToGrid/>
              <w:spacing w:line="240" w:lineRule="auto"/>
              <w:jc w:val="center"/>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完成目标</w:t>
            </w:r>
          </w:p>
        </w:tc>
        <w:tc>
          <w:tcPr>
            <w:tcW w:w="1395" w:type="dxa"/>
            <w:tcBorders>
              <w:tl2br w:val="nil"/>
              <w:tr2bl w:val="nil"/>
            </w:tcBorders>
            <w:vAlign w:val="center"/>
          </w:tcPr>
          <w:p w14:paraId="43F90EE1">
            <w:pPr>
              <w:pStyle w:val="36"/>
              <w:widowControl w:val="0"/>
              <w:wordWrap/>
              <w:snapToGrid/>
              <w:spacing w:line="240" w:lineRule="auto"/>
              <w:jc w:val="center"/>
              <w:textAlignment w:val="auto"/>
              <w:rPr>
                <w:rFonts w:hint="default"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不低于省市下达目标</w:t>
            </w:r>
          </w:p>
        </w:tc>
        <w:tc>
          <w:tcPr>
            <w:tcW w:w="1320" w:type="dxa"/>
            <w:tcBorders>
              <w:tl2br w:val="nil"/>
              <w:tr2bl w:val="nil"/>
            </w:tcBorders>
            <w:vAlign w:val="center"/>
          </w:tcPr>
          <w:p w14:paraId="71683786">
            <w:pPr>
              <w:widowControl w:val="0"/>
              <w:wordWrap/>
              <w:snapToGrid/>
              <w:spacing w:line="240" w:lineRule="auto"/>
              <w:jc w:val="center"/>
              <w:textAlignment w:val="auto"/>
              <w:rPr>
                <w:rFonts w:hint="eastAsia" w:ascii="仿宋" w:hAnsi="仿宋" w:eastAsia="仿宋" w:cs="仿宋"/>
                <w:color w:val="auto"/>
                <w:sz w:val="21"/>
                <w:szCs w:val="21"/>
                <w:highlight w:val="none"/>
                <w:lang w:val="en-US" w:eastAsia="zh-CN"/>
              </w:rPr>
            </w:pPr>
            <w:r>
              <w:rPr>
                <w:rFonts w:hint="eastAsia" w:ascii="仿宋_GB2312" w:eastAsia="仿宋_GB2312"/>
                <w:color w:val="auto"/>
                <w:kern w:val="2"/>
                <w:sz w:val="21"/>
                <w:szCs w:val="22"/>
                <w:highlight w:val="none"/>
                <w:lang w:val="en-US" w:eastAsia="zh-CN" w:bidi="ar-SA"/>
              </w:rPr>
              <w:t>-</w:t>
            </w:r>
          </w:p>
        </w:tc>
        <w:tc>
          <w:tcPr>
            <w:tcW w:w="1065" w:type="dxa"/>
            <w:tcBorders>
              <w:tl2br w:val="nil"/>
              <w:tr2bl w:val="nil"/>
            </w:tcBorders>
            <w:vAlign w:val="center"/>
          </w:tcPr>
          <w:p w14:paraId="3A5D18F3">
            <w:pPr>
              <w:pStyle w:val="36"/>
              <w:widowControl w:val="0"/>
              <w:wordWrap/>
              <w:snapToGrid/>
              <w:spacing w:line="240" w:lineRule="auto"/>
              <w:jc w:val="center"/>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约束性</w:t>
            </w:r>
          </w:p>
        </w:tc>
      </w:tr>
      <w:tr w14:paraId="685989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006" w:type="dxa"/>
            <w:gridSpan w:val="2"/>
            <w:tcBorders>
              <w:tl2br w:val="nil"/>
              <w:tr2bl w:val="nil"/>
            </w:tcBorders>
            <w:vAlign w:val="center"/>
          </w:tcPr>
          <w:p w14:paraId="35D4DC4B">
            <w:pPr>
              <w:pStyle w:val="36"/>
              <w:widowControl w:val="0"/>
              <w:wordWrap/>
              <w:snapToGrid/>
              <w:spacing w:line="240" w:lineRule="auto"/>
              <w:jc w:val="left"/>
              <w:textAlignment w:val="auto"/>
              <w:rPr>
                <w:rFonts w:hint="eastAsia" w:ascii="仿宋" w:hAnsi="仿宋" w:eastAsia="仿宋" w:cs="仿宋"/>
                <w:color w:val="auto"/>
                <w:sz w:val="21"/>
                <w:szCs w:val="21"/>
                <w:lang w:eastAsia="zh-CN"/>
              </w:rPr>
            </w:pPr>
            <w:r>
              <w:rPr>
                <w:rFonts w:hint="eastAsia" w:ascii="仿宋" w:hAnsi="仿宋" w:eastAsia="仿宋" w:cs="仿宋"/>
                <w:color w:val="auto"/>
                <w:sz w:val="21"/>
                <w:szCs w:val="21"/>
                <w:lang w:val="en-US" w:eastAsia="zh-CN"/>
              </w:rPr>
              <w:t>20.森林</w:t>
            </w:r>
            <w:r>
              <w:rPr>
                <w:rFonts w:hint="eastAsia" w:ascii="仿宋" w:hAnsi="仿宋" w:eastAsia="仿宋" w:cs="仿宋"/>
                <w:color w:val="auto"/>
                <w:sz w:val="21"/>
                <w:szCs w:val="21"/>
              </w:rPr>
              <w:t>覆盖率</w:t>
            </w:r>
            <w:r>
              <w:rPr>
                <w:rFonts w:hint="eastAsia" w:ascii="仿宋" w:hAnsi="仿宋" w:eastAsia="仿宋" w:cs="仿宋"/>
                <w:color w:val="auto"/>
                <w:sz w:val="21"/>
                <w:szCs w:val="21"/>
                <w:lang w:eastAsia="zh-CN"/>
              </w:rPr>
              <w:t>（</w:t>
            </w:r>
            <w:r>
              <w:rPr>
                <w:rFonts w:hint="eastAsia" w:ascii="仿宋" w:hAnsi="仿宋" w:eastAsia="仿宋" w:cs="仿宋"/>
                <w:color w:val="auto"/>
                <w:sz w:val="21"/>
                <w:szCs w:val="21"/>
                <w:lang w:val="en-US" w:eastAsia="zh-CN"/>
              </w:rPr>
              <w:t>%</w:t>
            </w:r>
            <w:r>
              <w:rPr>
                <w:rFonts w:hint="eastAsia" w:ascii="仿宋" w:hAnsi="仿宋" w:eastAsia="仿宋" w:cs="仿宋"/>
                <w:color w:val="auto"/>
                <w:sz w:val="21"/>
                <w:szCs w:val="21"/>
                <w:lang w:eastAsia="zh-CN"/>
              </w:rPr>
              <w:t>）</w:t>
            </w:r>
          </w:p>
        </w:tc>
        <w:tc>
          <w:tcPr>
            <w:tcW w:w="1350" w:type="dxa"/>
            <w:tcBorders>
              <w:tl2br w:val="nil"/>
              <w:tr2bl w:val="nil"/>
            </w:tcBorders>
            <w:vAlign w:val="center"/>
          </w:tcPr>
          <w:p w14:paraId="33AF0118">
            <w:pPr>
              <w:pStyle w:val="36"/>
              <w:widowControl w:val="0"/>
              <w:wordWrap/>
              <w:snapToGrid/>
              <w:spacing w:line="240" w:lineRule="auto"/>
              <w:jc w:val="center"/>
              <w:textAlignment w:val="auto"/>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28.5</w:t>
            </w:r>
          </w:p>
        </w:tc>
        <w:tc>
          <w:tcPr>
            <w:tcW w:w="1395" w:type="dxa"/>
            <w:tcBorders>
              <w:tl2br w:val="nil"/>
              <w:tr2bl w:val="nil"/>
            </w:tcBorders>
            <w:vAlign w:val="center"/>
          </w:tcPr>
          <w:p w14:paraId="767BDFB7">
            <w:pPr>
              <w:pStyle w:val="36"/>
              <w:widowControl w:val="0"/>
              <w:wordWrap/>
              <w:snapToGrid/>
              <w:spacing w:line="240" w:lineRule="auto"/>
              <w:jc w:val="center"/>
              <w:textAlignment w:val="auto"/>
              <w:rPr>
                <w:rFonts w:hint="default"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不低于省市下达目标</w:t>
            </w:r>
          </w:p>
        </w:tc>
        <w:tc>
          <w:tcPr>
            <w:tcW w:w="1320" w:type="dxa"/>
            <w:tcBorders>
              <w:tl2br w:val="nil"/>
              <w:tr2bl w:val="nil"/>
            </w:tcBorders>
            <w:vAlign w:val="center"/>
          </w:tcPr>
          <w:p w14:paraId="7574A147">
            <w:pPr>
              <w:widowControl w:val="0"/>
              <w:wordWrap/>
              <w:snapToGrid/>
              <w:spacing w:line="240" w:lineRule="auto"/>
              <w:jc w:val="center"/>
              <w:textAlignment w:val="auto"/>
              <w:rPr>
                <w:rFonts w:hint="eastAsia" w:ascii="仿宋" w:hAnsi="仿宋" w:eastAsia="仿宋" w:cs="仿宋"/>
                <w:color w:val="auto"/>
                <w:sz w:val="21"/>
                <w:szCs w:val="21"/>
                <w:highlight w:val="none"/>
                <w:lang w:val="en-US" w:eastAsia="zh-CN"/>
              </w:rPr>
            </w:pPr>
            <w:r>
              <w:rPr>
                <w:rFonts w:hint="eastAsia" w:ascii="仿宋_GB2312" w:eastAsia="仿宋_GB2312"/>
                <w:color w:val="auto"/>
                <w:kern w:val="2"/>
                <w:sz w:val="21"/>
                <w:szCs w:val="22"/>
                <w:highlight w:val="none"/>
                <w:lang w:val="en-US" w:eastAsia="zh-CN" w:bidi="ar-SA"/>
              </w:rPr>
              <w:t>-</w:t>
            </w:r>
          </w:p>
        </w:tc>
        <w:tc>
          <w:tcPr>
            <w:tcW w:w="1065" w:type="dxa"/>
            <w:tcBorders>
              <w:tl2br w:val="nil"/>
              <w:tr2bl w:val="nil"/>
            </w:tcBorders>
            <w:vAlign w:val="center"/>
          </w:tcPr>
          <w:p w14:paraId="1115A829">
            <w:pPr>
              <w:pStyle w:val="36"/>
              <w:widowControl w:val="0"/>
              <w:wordWrap/>
              <w:snapToGrid/>
              <w:spacing w:line="240" w:lineRule="auto"/>
              <w:jc w:val="center"/>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约束性</w:t>
            </w:r>
          </w:p>
        </w:tc>
      </w:tr>
      <w:tr w14:paraId="0451CB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jc w:val="center"/>
        </w:trPr>
        <w:tc>
          <w:tcPr>
            <w:tcW w:w="9136" w:type="dxa"/>
            <w:gridSpan w:val="6"/>
            <w:tcBorders>
              <w:tl2br w:val="nil"/>
              <w:tr2bl w:val="nil"/>
            </w:tcBorders>
            <w:vAlign w:val="center"/>
          </w:tcPr>
          <w:p w14:paraId="66F44C74">
            <w:pPr>
              <w:pStyle w:val="36"/>
              <w:widowControl w:val="0"/>
              <w:wordWrap/>
              <w:snapToGrid/>
              <w:spacing w:line="240" w:lineRule="auto"/>
              <w:jc w:val="center"/>
              <w:textAlignment w:val="auto"/>
              <w:rPr>
                <w:rFonts w:hint="eastAsia" w:ascii="仿宋" w:hAnsi="仿宋" w:eastAsia="仿宋" w:cs="仿宋"/>
                <w:b/>
                <w:bCs/>
                <w:color w:val="auto"/>
                <w:sz w:val="21"/>
                <w:szCs w:val="21"/>
                <w:highlight w:val="none"/>
                <w:lang w:val="en-US" w:eastAsia="zh-CN"/>
              </w:rPr>
            </w:pPr>
            <w:r>
              <w:rPr>
                <w:rFonts w:hint="eastAsia" w:ascii="仿宋" w:hAnsi="仿宋" w:eastAsia="仿宋" w:cs="仿宋"/>
                <w:b/>
                <w:bCs/>
                <w:color w:val="auto"/>
                <w:sz w:val="21"/>
                <w:szCs w:val="21"/>
                <w:lang w:val="en-US" w:eastAsia="zh-CN"/>
              </w:rPr>
              <w:t>五、安全保障</w:t>
            </w:r>
          </w:p>
        </w:tc>
      </w:tr>
      <w:tr w14:paraId="03A4D0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jc w:val="center"/>
        </w:trPr>
        <w:tc>
          <w:tcPr>
            <w:tcW w:w="4006" w:type="dxa"/>
            <w:gridSpan w:val="2"/>
            <w:tcBorders>
              <w:tl2br w:val="nil"/>
              <w:tr2bl w:val="nil"/>
            </w:tcBorders>
            <w:vAlign w:val="center"/>
          </w:tcPr>
          <w:p w14:paraId="0448BBEC">
            <w:pPr>
              <w:pStyle w:val="36"/>
              <w:widowControl w:val="0"/>
              <w:wordWrap/>
              <w:snapToGrid/>
              <w:spacing w:line="240" w:lineRule="auto"/>
              <w:jc w:val="left"/>
              <w:textAlignment w:val="auto"/>
              <w:rPr>
                <w:rFonts w:hint="eastAsia" w:ascii="仿宋" w:hAnsi="仿宋" w:eastAsia="仿宋" w:cs="仿宋"/>
                <w:color w:val="auto"/>
                <w:sz w:val="21"/>
                <w:szCs w:val="21"/>
                <w:lang w:eastAsia="zh-CN"/>
              </w:rPr>
            </w:pPr>
            <w:r>
              <w:rPr>
                <w:rFonts w:hint="eastAsia" w:ascii="仿宋" w:hAnsi="仿宋" w:eastAsia="仿宋" w:cs="仿宋"/>
                <w:color w:val="auto"/>
                <w:sz w:val="21"/>
                <w:szCs w:val="21"/>
                <w:lang w:val="en-US" w:eastAsia="zh-CN"/>
              </w:rPr>
              <w:t>21.</w:t>
            </w:r>
            <w:r>
              <w:rPr>
                <w:rFonts w:hint="eastAsia" w:ascii="仿宋" w:hAnsi="仿宋" w:eastAsia="仿宋" w:cs="仿宋"/>
                <w:color w:val="auto"/>
                <w:sz w:val="21"/>
                <w:szCs w:val="21"/>
              </w:rPr>
              <w:t>粮食综合生产能力</w:t>
            </w:r>
            <w:r>
              <w:rPr>
                <w:rFonts w:hint="eastAsia" w:ascii="仿宋" w:hAnsi="仿宋" w:eastAsia="仿宋" w:cs="仿宋"/>
                <w:color w:val="auto"/>
                <w:sz w:val="21"/>
                <w:szCs w:val="21"/>
                <w:lang w:eastAsia="zh-CN"/>
              </w:rPr>
              <w:t>（</w:t>
            </w:r>
            <w:r>
              <w:rPr>
                <w:rFonts w:hint="eastAsia" w:ascii="仿宋" w:hAnsi="仿宋" w:eastAsia="仿宋" w:cs="仿宋"/>
                <w:color w:val="auto"/>
                <w:sz w:val="21"/>
                <w:szCs w:val="21"/>
                <w:lang w:val="en-US" w:eastAsia="zh-CN"/>
              </w:rPr>
              <w:t>亿斤</w:t>
            </w:r>
            <w:r>
              <w:rPr>
                <w:rFonts w:hint="eastAsia" w:ascii="仿宋" w:hAnsi="仿宋" w:eastAsia="仿宋" w:cs="仿宋"/>
                <w:color w:val="auto"/>
                <w:sz w:val="21"/>
                <w:szCs w:val="21"/>
                <w:lang w:eastAsia="zh-CN"/>
              </w:rPr>
              <w:t>）</w:t>
            </w:r>
          </w:p>
        </w:tc>
        <w:tc>
          <w:tcPr>
            <w:tcW w:w="1350" w:type="dxa"/>
            <w:tcBorders>
              <w:tl2br w:val="nil"/>
              <w:tr2bl w:val="nil"/>
            </w:tcBorders>
            <w:vAlign w:val="center"/>
          </w:tcPr>
          <w:p w14:paraId="6AE2A74F">
            <w:pPr>
              <w:pStyle w:val="36"/>
              <w:widowControl w:val="0"/>
              <w:wordWrap/>
              <w:snapToGrid/>
              <w:spacing w:line="240" w:lineRule="auto"/>
              <w:jc w:val="center"/>
              <w:textAlignment w:val="auto"/>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13.92</w:t>
            </w:r>
          </w:p>
        </w:tc>
        <w:tc>
          <w:tcPr>
            <w:tcW w:w="1395" w:type="dxa"/>
            <w:tcBorders>
              <w:tl2br w:val="nil"/>
              <w:tr2bl w:val="nil"/>
            </w:tcBorders>
            <w:vAlign w:val="center"/>
          </w:tcPr>
          <w:p w14:paraId="6ADF7A30">
            <w:pPr>
              <w:pStyle w:val="36"/>
              <w:widowControl w:val="0"/>
              <w:wordWrap/>
              <w:snapToGrid/>
              <w:spacing w:line="240" w:lineRule="auto"/>
              <w:jc w:val="center"/>
              <w:textAlignment w:val="auto"/>
              <w:rPr>
                <w:rFonts w:hint="default" w:ascii="仿宋" w:hAnsi="仿宋" w:eastAsia="仿宋" w:cs="仿宋"/>
                <w:color w:val="auto"/>
                <w:sz w:val="21"/>
                <w:szCs w:val="21"/>
                <w:highlight w:val="none"/>
                <w:lang w:val="en-US" w:eastAsia="zh-CN"/>
              </w:rPr>
            </w:pPr>
            <w:r>
              <w:rPr>
                <w:rFonts w:hint="eastAsia" w:ascii="仿宋_GB2312" w:eastAsia="仿宋_GB2312"/>
                <w:color w:val="auto"/>
                <w:kern w:val="2"/>
                <w:sz w:val="21"/>
                <w:szCs w:val="22"/>
                <w:highlight w:val="none"/>
                <w:lang w:val="en-US" w:eastAsia="zh-CN" w:bidi="ar-SA"/>
              </w:rPr>
              <w:t>-</w:t>
            </w:r>
          </w:p>
        </w:tc>
        <w:tc>
          <w:tcPr>
            <w:tcW w:w="1320" w:type="dxa"/>
            <w:tcBorders>
              <w:tl2br w:val="nil"/>
              <w:tr2bl w:val="nil"/>
            </w:tcBorders>
            <w:vAlign w:val="center"/>
          </w:tcPr>
          <w:p w14:paraId="262151D3">
            <w:pPr>
              <w:pStyle w:val="36"/>
              <w:widowControl w:val="0"/>
              <w:wordWrap/>
              <w:snapToGrid/>
              <w:spacing w:line="240" w:lineRule="auto"/>
              <w:jc w:val="center"/>
              <w:textAlignment w:val="auto"/>
              <w:rPr>
                <w:rFonts w:hint="default"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14.5</w:t>
            </w:r>
          </w:p>
        </w:tc>
        <w:tc>
          <w:tcPr>
            <w:tcW w:w="1065" w:type="dxa"/>
            <w:tcBorders>
              <w:tl2br w:val="nil"/>
              <w:tr2bl w:val="nil"/>
            </w:tcBorders>
            <w:vAlign w:val="center"/>
          </w:tcPr>
          <w:p w14:paraId="171E20AA">
            <w:pPr>
              <w:pStyle w:val="36"/>
              <w:widowControl w:val="0"/>
              <w:wordWrap/>
              <w:snapToGrid/>
              <w:spacing w:line="240" w:lineRule="auto"/>
              <w:jc w:val="center"/>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预期性</w:t>
            </w:r>
          </w:p>
        </w:tc>
      </w:tr>
      <w:tr w14:paraId="3CD113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jc w:val="center"/>
        </w:trPr>
        <w:tc>
          <w:tcPr>
            <w:tcW w:w="9136" w:type="dxa"/>
            <w:gridSpan w:val="6"/>
            <w:tcBorders>
              <w:tl2br w:val="nil"/>
              <w:tr2bl w:val="nil"/>
            </w:tcBorders>
            <w:vAlign w:val="center"/>
          </w:tcPr>
          <w:p w14:paraId="4160068C">
            <w:pPr>
              <w:pStyle w:val="36"/>
              <w:widowControl w:val="0"/>
              <w:wordWrap/>
              <w:snapToGrid/>
              <w:spacing w:line="240" w:lineRule="auto"/>
              <w:jc w:val="both"/>
              <w:textAlignment w:val="auto"/>
              <w:rPr>
                <w:rFonts w:hint="default" w:ascii="仿宋" w:hAnsi="仿宋" w:eastAsia="仿宋" w:cs="仿宋"/>
                <w:color w:val="auto"/>
                <w:sz w:val="21"/>
                <w:szCs w:val="21"/>
                <w:highlight w:val="none"/>
                <w:lang w:val="en-US" w:eastAsia="zh-CN"/>
              </w:rPr>
            </w:pPr>
            <w:bookmarkStart w:id="37" w:name="_Toc2648"/>
            <w:bookmarkStart w:id="38" w:name="_Toc27283"/>
            <w:r>
              <w:rPr>
                <w:rFonts w:hint="eastAsia" w:ascii="仿宋" w:hAnsi="仿宋" w:eastAsia="仿宋" w:cs="仿宋"/>
                <w:color w:val="auto"/>
                <w:sz w:val="21"/>
                <w:szCs w:val="21"/>
                <w:lang w:val="en-US" w:eastAsia="zh-CN"/>
              </w:rPr>
              <w:t>注：1.[]内数据为五年规划累计数；2.2025年基数为初步预计数。</w:t>
            </w:r>
          </w:p>
        </w:tc>
      </w:tr>
    </w:tbl>
    <w:p w14:paraId="70579949">
      <w:pPr>
        <w:pageBreakBefore w:val="0"/>
        <w:kinsoku/>
        <w:wordWrap/>
        <w:overflowPunct/>
        <w:topLinePunct w:val="0"/>
        <w:autoSpaceDE/>
        <w:bidi w:val="0"/>
        <w:adjustRightInd w:val="0"/>
        <w:snapToGrid w:val="0"/>
        <w:spacing w:line="560" w:lineRule="exact"/>
        <w:ind w:firstLine="643" w:firstLineChars="200"/>
        <w:textAlignment w:val="auto"/>
        <w:rPr>
          <w:rFonts w:hint="eastAsia" w:ascii="Times New Roman" w:hAnsi="Times New Roman" w:eastAsia="黑体" w:cs="Times New Roman"/>
          <w:b/>
          <w:bCs/>
          <w:color w:val="auto"/>
          <w:kern w:val="2"/>
          <w:sz w:val="32"/>
          <w:szCs w:val="32"/>
          <w:highlight w:val="none"/>
          <w:u w:val="none"/>
          <w:lang w:val="en-US" w:eastAsia="zh-CN" w:bidi="ar-SA"/>
        </w:rPr>
      </w:pPr>
      <w:bookmarkStart w:id="39" w:name="_Toc27830"/>
    </w:p>
    <w:p w14:paraId="3EFCD403">
      <w:pPr>
        <w:keepNext/>
        <w:keepLines/>
        <w:pageBreakBefore w:val="0"/>
        <w:widowControl w:val="0"/>
        <w:numPr>
          <w:ilvl w:val="0"/>
          <w:numId w:val="0"/>
        </w:numPr>
        <w:kinsoku/>
        <w:wordWrap/>
        <w:overflowPunct/>
        <w:topLinePunct w:val="0"/>
        <w:autoSpaceDE/>
        <w:autoSpaceDN/>
        <w:bidi w:val="0"/>
        <w:adjustRightInd w:val="0"/>
        <w:snapToGrid w:val="0"/>
        <w:spacing w:before="361" w:beforeLines="100" w:after="156" w:afterLines="50" w:line="560" w:lineRule="exact"/>
        <w:ind w:leftChars="0"/>
        <w:jc w:val="center"/>
        <w:textAlignment w:val="auto"/>
        <w:outlineLvl w:val="2"/>
        <w:rPr>
          <w:rFonts w:hint="default" w:ascii="Times New Roman" w:hAnsi="Times New Roman" w:eastAsia="黑体" w:cs="Times New Roman"/>
          <w:b/>
          <w:bCs/>
          <w:color w:val="auto"/>
          <w:kern w:val="2"/>
          <w:sz w:val="32"/>
          <w:szCs w:val="32"/>
          <w:highlight w:val="none"/>
          <w:u w:val="none"/>
          <w:lang w:val="en-US" w:eastAsia="zh-CN" w:bidi="ar-SA"/>
        </w:rPr>
      </w:pPr>
      <w:r>
        <w:rPr>
          <w:rFonts w:hint="eastAsia" w:ascii="Times New Roman" w:hAnsi="Times New Roman" w:eastAsia="黑体" w:cs="Times New Roman"/>
          <w:b/>
          <w:bCs/>
          <w:color w:val="auto"/>
          <w:kern w:val="2"/>
          <w:sz w:val="32"/>
          <w:szCs w:val="32"/>
          <w:highlight w:val="none"/>
          <w:u w:val="none"/>
          <w:lang w:val="en-US" w:eastAsia="zh-CN" w:bidi="ar-SA"/>
        </w:rPr>
        <w:t>第五节发展路径及战略</w:t>
      </w:r>
      <w:bookmarkEnd w:id="37"/>
      <w:bookmarkEnd w:id="38"/>
      <w:bookmarkEnd w:id="39"/>
    </w:p>
    <w:p w14:paraId="68108807">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outlineLvl w:val="3"/>
        <w:rPr>
          <w:rFonts w:hint="eastAsia" w:ascii="楷体" w:hAnsi="楷体" w:eastAsia="楷体" w:cs="楷体"/>
          <w:b/>
          <w:bCs/>
          <w:color w:val="auto"/>
          <w:kern w:val="2"/>
          <w:sz w:val="32"/>
          <w:szCs w:val="21"/>
          <w:highlight w:val="none"/>
          <w:lang w:val="en-US" w:eastAsia="zh-CN"/>
        </w:rPr>
      </w:pPr>
      <w:bookmarkStart w:id="40" w:name="_Toc18818"/>
      <w:r>
        <w:rPr>
          <w:rFonts w:hint="eastAsia" w:ascii="楷体" w:hAnsi="楷体" w:eastAsia="楷体" w:cs="楷体"/>
          <w:b/>
          <w:bCs/>
          <w:color w:val="auto"/>
          <w:kern w:val="2"/>
          <w:sz w:val="32"/>
          <w:szCs w:val="21"/>
          <w:highlight w:val="none"/>
        </w:rPr>
        <w:t>（一）“16</w:t>
      </w:r>
      <w:r>
        <w:rPr>
          <w:rFonts w:hint="eastAsia" w:ascii="楷体" w:hAnsi="楷体" w:eastAsia="楷体" w:cs="楷体"/>
          <w:b/>
          <w:bCs/>
          <w:color w:val="auto"/>
          <w:kern w:val="2"/>
          <w:sz w:val="32"/>
          <w:szCs w:val="21"/>
          <w:highlight w:val="none"/>
          <w:lang w:val="en-US" w:eastAsia="zh-CN"/>
        </w:rPr>
        <w:t>232</w:t>
      </w:r>
      <w:r>
        <w:rPr>
          <w:rFonts w:hint="eastAsia" w:ascii="楷体" w:hAnsi="楷体" w:eastAsia="楷体" w:cs="楷体"/>
          <w:b/>
          <w:bCs/>
          <w:color w:val="auto"/>
          <w:kern w:val="2"/>
          <w:sz w:val="32"/>
          <w:szCs w:val="21"/>
          <w:highlight w:val="none"/>
        </w:rPr>
        <w:t>”发展路径</w:t>
      </w:r>
    </w:p>
    <w:p w14:paraId="424F699F">
      <w:pPr>
        <w:pageBreakBefore w:val="0"/>
        <w:kinsoku/>
        <w:wordWrap/>
        <w:overflowPunct/>
        <w:topLinePunct w:val="0"/>
        <w:autoSpaceDE/>
        <w:bidi w:val="0"/>
        <w:adjustRightInd w:val="0"/>
        <w:snapToGrid w:val="0"/>
        <w:spacing w:line="560" w:lineRule="exact"/>
        <w:ind w:firstLine="640" w:firstLineChars="200"/>
        <w:textAlignment w:val="auto"/>
        <w:rPr>
          <w:rFonts w:hint="eastAsia" w:ascii="仿宋_GB2312" w:hAnsi="仿宋_GB2312" w:eastAsia="仿宋_GB2312" w:cs="仿宋_GB2312"/>
          <w:color w:val="auto"/>
          <w:kern w:val="2"/>
          <w:sz w:val="32"/>
          <w:szCs w:val="21"/>
          <w:highlight w:val="none"/>
          <w:lang w:val="en-US" w:eastAsia="zh-CN"/>
        </w:rPr>
      </w:pPr>
      <w:r>
        <w:rPr>
          <w:rFonts w:hint="eastAsia" w:ascii="仿宋_GB2312" w:hAnsi="仿宋_GB2312" w:eastAsia="仿宋_GB2312" w:cs="仿宋_GB2312"/>
          <w:color w:val="auto"/>
          <w:kern w:val="2"/>
          <w:sz w:val="32"/>
          <w:szCs w:val="21"/>
          <w:highlight w:val="none"/>
          <w:lang w:val="en-US" w:eastAsia="zh-CN"/>
        </w:rPr>
        <w:t>“十五五”时期是我国全面建设社会主义现代化国家的关键攻坚期，更是县域经济突破发展瓶颈、重塑竞争优势的重要战略窗口期。为全面提升区域发展能级、激活存量资源潜力、加快培育未来产业、营造优质产业生态，扶沟县系统谋划并启动实施“16232”工程，清晰勾勒出县域高质量发展的奋进蓝图。</w:t>
      </w:r>
    </w:p>
    <w:p w14:paraId="76EB0889">
      <w:pPr>
        <w:pageBreakBefore w:val="0"/>
        <w:kinsoku/>
        <w:wordWrap/>
        <w:overflowPunct/>
        <w:topLinePunct w:val="0"/>
        <w:autoSpaceDE/>
        <w:bidi w:val="0"/>
        <w:adjustRightInd w:val="0"/>
        <w:snapToGrid w:val="0"/>
        <w:spacing w:line="560" w:lineRule="exact"/>
        <w:ind w:firstLine="640" w:firstLineChars="200"/>
        <w:textAlignment w:val="auto"/>
        <w:rPr>
          <w:rFonts w:hint="eastAsia" w:ascii="仿宋_GB2312" w:hAnsi="仿宋_GB2312" w:eastAsia="仿宋_GB2312" w:cs="仿宋_GB2312"/>
          <w:color w:val="auto"/>
          <w:kern w:val="2"/>
          <w:sz w:val="32"/>
          <w:szCs w:val="21"/>
          <w:highlight w:val="none"/>
          <w:lang w:val="en-US" w:eastAsia="zh-CN"/>
        </w:rPr>
      </w:pPr>
      <w:r>
        <w:rPr>
          <w:rFonts w:hint="eastAsia" w:ascii="仿宋_GB2312" w:hAnsi="仿宋_GB2312" w:eastAsia="仿宋_GB2312" w:cs="仿宋_GB2312"/>
          <w:color w:val="auto"/>
          <w:kern w:val="2"/>
          <w:sz w:val="32"/>
          <w:szCs w:val="21"/>
          <w:highlight w:val="none"/>
          <w:lang w:val="en-US" w:eastAsia="zh-CN"/>
        </w:rPr>
        <w:t>坚持一个原则。即稳中求进工作总基调，扭住“稳”的关键点，找准“进”的切入点，以稳促进、以进固稳，确保扶沟发展行稳致远。</w:t>
      </w:r>
    </w:p>
    <w:p w14:paraId="152892FA">
      <w:pPr>
        <w:pageBreakBefore w:val="0"/>
        <w:kinsoku/>
        <w:wordWrap/>
        <w:overflowPunct/>
        <w:topLinePunct w:val="0"/>
        <w:autoSpaceDE/>
        <w:bidi w:val="0"/>
        <w:adjustRightInd w:val="0"/>
        <w:snapToGrid w:val="0"/>
        <w:spacing w:line="560" w:lineRule="exact"/>
        <w:ind w:firstLine="640" w:firstLineChars="200"/>
        <w:textAlignment w:val="auto"/>
        <w:rPr>
          <w:rFonts w:hint="eastAsia" w:ascii="仿宋_GB2312" w:hAnsi="仿宋_GB2312" w:eastAsia="仿宋_GB2312" w:cs="仿宋_GB2312"/>
          <w:color w:val="auto"/>
          <w:kern w:val="2"/>
          <w:sz w:val="32"/>
          <w:szCs w:val="21"/>
          <w:highlight w:val="none"/>
          <w:lang w:val="en-US" w:eastAsia="zh-CN"/>
        </w:rPr>
      </w:pPr>
      <w:r>
        <w:rPr>
          <w:rFonts w:hint="eastAsia" w:ascii="仿宋_GB2312" w:hAnsi="仿宋_GB2312" w:eastAsia="仿宋_GB2312" w:cs="仿宋_GB2312"/>
          <w:color w:val="auto"/>
          <w:kern w:val="2"/>
          <w:sz w:val="32"/>
          <w:szCs w:val="21"/>
          <w:highlight w:val="none"/>
          <w:lang w:val="en-US" w:eastAsia="zh-CN"/>
        </w:rPr>
        <w:t>抓好六大板块。突出抓好产业发展、农业农村、城市规划建设管理、对外开放和招商引资、民生实事、社会治理六项重点工作，构筑发展强支撑。</w:t>
      </w:r>
    </w:p>
    <w:p w14:paraId="4C6C07D5">
      <w:pPr>
        <w:pageBreakBefore w:val="0"/>
        <w:kinsoku/>
        <w:wordWrap/>
        <w:overflowPunct/>
        <w:topLinePunct w:val="0"/>
        <w:autoSpaceDE/>
        <w:bidi w:val="0"/>
        <w:adjustRightInd w:val="0"/>
        <w:snapToGrid w:val="0"/>
        <w:spacing w:line="560" w:lineRule="exact"/>
        <w:ind w:firstLine="640" w:firstLineChars="200"/>
        <w:textAlignment w:val="auto"/>
        <w:rPr>
          <w:rFonts w:hint="eastAsia" w:ascii="仿宋_GB2312" w:hAnsi="仿宋_GB2312" w:eastAsia="仿宋_GB2312" w:cs="仿宋_GB2312"/>
          <w:color w:val="auto"/>
          <w:kern w:val="2"/>
          <w:sz w:val="32"/>
          <w:szCs w:val="21"/>
          <w:highlight w:val="none"/>
          <w:lang w:val="en-US" w:eastAsia="zh-CN"/>
        </w:rPr>
      </w:pPr>
      <w:r>
        <w:rPr>
          <w:rFonts w:hint="eastAsia" w:ascii="仿宋_GB2312" w:hAnsi="仿宋_GB2312" w:eastAsia="仿宋_GB2312" w:cs="仿宋_GB2312"/>
          <w:color w:val="auto"/>
          <w:kern w:val="2"/>
          <w:sz w:val="32"/>
          <w:szCs w:val="21"/>
          <w:highlight w:val="none"/>
          <w:lang w:val="en-US" w:eastAsia="zh-CN"/>
        </w:rPr>
        <w:t>突出两个特色。坚持以蔬菜经济、畜禽养殖为牵引加快建设农业强县，以商贸物流枢纽基地定位为牵引大力发展枢纽、临港经济，着力彰显扶沟特色优势。</w:t>
      </w:r>
    </w:p>
    <w:p w14:paraId="7846BCB7">
      <w:pPr>
        <w:pageBreakBefore w:val="0"/>
        <w:kinsoku/>
        <w:wordWrap/>
        <w:overflowPunct/>
        <w:topLinePunct w:val="0"/>
        <w:autoSpaceDE/>
        <w:bidi w:val="0"/>
        <w:adjustRightInd w:val="0"/>
        <w:snapToGrid w:val="0"/>
        <w:spacing w:line="560" w:lineRule="exact"/>
        <w:ind w:firstLine="640" w:firstLineChars="200"/>
        <w:textAlignment w:val="auto"/>
        <w:rPr>
          <w:rFonts w:hint="eastAsia" w:ascii="仿宋_GB2312" w:hAnsi="仿宋_GB2312" w:eastAsia="仿宋_GB2312" w:cs="仿宋_GB2312"/>
          <w:color w:val="auto"/>
          <w:kern w:val="2"/>
          <w:sz w:val="32"/>
          <w:szCs w:val="21"/>
          <w:highlight w:val="none"/>
          <w:lang w:val="en-US" w:eastAsia="zh-CN"/>
        </w:rPr>
      </w:pPr>
      <w:r>
        <w:rPr>
          <w:rFonts w:hint="eastAsia" w:ascii="仿宋_GB2312" w:hAnsi="仿宋_GB2312" w:eastAsia="仿宋_GB2312" w:cs="仿宋_GB2312"/>
          <w:color w:val="auto"/>
          <w:kern w:val="2"/>
          <w:sz w:val="32"/>
          <w:szCs w:val="21"/>
          <w:highlight w:val="none"/>
          <w:lang w:val="en-US" w:eastAsia="zh-CN"/>
        </w:rPr>
        <w:t>守牢三条底线。坚决守住安全生产底线、污染防治底线、廉洁自律底线，为改革发展创造稳定环境，确保干部队伍想干事、干成事、不出事。</w:t>
      </w:r>
    </w:p>
    <w:p w14:paraId="39CB25DC">
      <w:pPr>
        <w:pageBreakBefore w:val="0"/>
        <w:kinsoku/>
        <w:wordWrap/>
        <w:overflowPunct/>
        <w:topLinePunct w:val="0"/>
        <w:autoSpaceDE/>
        <w:bidi w:val="0"/>
        <w:adjustRightInd w:val="0"/>
        <w:snapToGrid w:val="0"/>
        <w:spacing w:line="560" w:lineRule="exact"/>
        <w:ind w:firstLine="640" w:firstLineChars="200"/>
        <w:textAlignment w:val="auto"/>
        <w:rPr>
          <w:rFonts w:hint="eastAsia" w:ascii="仿宋_GB2312" w:hAnsi="仿宋_GB2312" w:eastAsia="仿宋_GB2312" w:cs="仿宋_GB2312"/>
          <w:color w:val="auto"/>
          <w:kern w:val="2"/>
          <w:sz w:val="32"/>
          <w:szCs w:val="21"/>
          <w:highlight w:val="none"/>
          <w:lang w:val="en-US" w:eastAsia="zh-CN"/>
        </w:rPr>
      </w:pPr>
      <w:r>
        <w:rPr>
          <w:rFonts w:hint="eastAsia" w:ascii="仿宋_GB2312" w:hAnsi="仿宋_GB2312" w:eastAsia="仿宋_GB2312" w:cs="仿宋_GB2312"/>
          <w:color w:val="auto"/>
          <w:kern w:val="2"/>
          <w:sz w:val="32"/>
          <w:szCs w:val="21"/>
          <w:highlight w:val="none"/>
          <w:lang w:val="en-US" w:eastAsia="zh-CN"/>
        </w:rPr>
        <w:t>强化两个保障。一个是工作机制保障，实行“县委牵头抓总、县直属部门分专班负责六大板块、重点工作季度推动双月调度”工作推进机制；另一个是能力作风保障，通过建立干部奖惩考核机制，引导领导干部提升能力、转变作风，营造奋勇争先的良好氛围。</w:t>
      </w:r>
    </w:p>
    <w:bookmarkEnd w:id="40"/>
    <w:p w14:paraId="35B93D05">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outlineLvl w:val="3"/>
        <w:rPr>
          <w:rFonts w:hint="default" w:ascii="仿宋_GB2312" w:hAnsi="仿宋_GB2312" w:eastAsia="仿宋_GB2312" w:cs="仿宋_GB2312"/>
          <w:color w:val="auto"/>
          <w:kern w:val="2"/>
          <w:sz w:val="32"/>
          <w:szCs w:val="21"/>
          <w:u w:val="none"/>
          <w:lang w:val="en-US" w:eastAsia="zh-CN" w:bidi="ar-SA"/>
        </w:rPr>
      </w:pPr>
      <w:bookmarkStart w:id="41" w:name="_Toc13362"/>
      <w:r>
        <w:rPr>
          <w:rFonts w:hint="eastAsia" w:ascii="楷体" w:hAnsi="楷体" w:eastAsia="楷体" w:cs="楷体"/>
          <w:b/>
          <w:bCs/>
          <w:color w:val="auto"/>
          <w:kern w:val="2"/>
          <w:sz w:val="32"/>
          <w:szCs w:val="21"/>
          <w:highlight w:val="none"/>
        </w:rPr>
        <w:t>（二）“</w:t>
      </w:r>
      <w:r>
        <w:rPr>
          <w:rFonts w:hint="eastAsia" w:ascii="楷体" w:hAnsi="楷体" w:eastAsia="楷体" w:cs="楷体"/>
          <w:b/>
          <w:bCs/>
          <w:color w:val="auto"/>
          <w:kern w:val="2"/>
          <w:sz w:val="32"/>
          <w:szCs w:val="21"/>
          <w:highlight w:val="none"/>
          <w:lang w:val="en-US" w:eastAsia="zh-CN"/>
        </w:rPr>
        <w:t>五县</w:t>
      </w:r>
      <w:r>
        <w:rPr>
          <w:rFonts w:hint="eastAsia" w:ascii="楷体" w:hAnsi="楷体" w:eastAsia="楷体" w:cs="楷体"/>
          <w:b/>
          <w:bCs/>
          <w:color w:val="auto"/>
          <w:kern w:val="2"/>
          <w:sz w:val="32"/>
          <w:szCs w:val="21"/>
          <w:highlight w:val="none"/>
        </w:rPr>
        <w:t>四动”发展战略</w:t>
      </w:r>
      <w:bookmarkEnd w:id="41"/>
    </w:p>
    <w:p w14:paraId="3D2E8669">
      <w:pPr>
        <w:pageBreakBefore w:val="0"/>
        <w:kinsoku/>
        <w:wordWrap/>
        <w:overflowPunct/>
        <w:topLinePunct w:val="0"/>
        <w:autoSpaceDE/>
        <w:bidi w:val="0"/>
        <w:adjustRightInd w:val="0"/>
        <w:snapToGrid w:val="0"/>
        <w:spacing w:line="560" w:lineRule="exact"/>
        <w:ind w:firstLine="640" w:firstLineChars="200"/>
        <w:textAlignment w:val="auto"/>
        <w:rPr>
          <w:rFonts w:ascii="仿宋_GB2312" w:hAnsi="仿宋_GB2312" w:eastAsia="仿宋_GB2312" w:cs="仿宋_GB2312"/>
          <w:color w:val="auto"/>
          <w:kern w:val="2"/>
          <w:sz w:val="32"/>
          <w:szCs w:val="21"/>
          <w:highlight w:val="none"/>
        </w:rPr>
      </w:pPr>
      <w:r>
        <w:rPr>
          <w:rFonts w:ascii="仿宋_GB2312" w:hAnsi="仿宋_GB2312" w:eastAsia="仿宋_GB2312" w:cs="仿宋_GB2312"/>
          <w:color w:val="auto"/>
          <w:kern w:val="2"/>
          <w:sz w:val="32"/>
          <w:szCs w:val="21"/>
          <w:highlight w:val="none"/>
        </w:rPr>
        <w:t>通过“16</w:t>
      </w:r>
      <w:r>
        <w:rPr>
          <w:rFonts w:hint="eastAsia" w:ascii="仿宋_GB2312" w:hAnsi="仿宋_GB2312" w:eastAsia="仿宋_GB2312" w:cs="仿宋_GB2312"/>
          <w:color w:val="auto"/>
          <w:kern w:val="2"/>
          <w:sz w:val="32"/>
          <w:szCs w:val="21"/>
          <w:highlight w:val="none"/>
          <w:lang w:val="en-US" w:eastAsia="zh-CN"/>
        </w:rPr>
        <w:t>232</w:t>
      </w:r>
      <w:r>
        <w:rPr>
          <w:rFonts w:ascii="仿宋_GB2312" w:hAnsi="仿宋_GB2312" w:eastAsia="仿宋_GB2312" w:cs="仿宋_GB2312"/>
          <w:color w:val="auto"/>
          <w:kern w:val="2"/>
          <w:sz w:val="32"/>
          <w:szCs w:val="21"/>
          <w:highlight w:val="none"/>
        </w:rPr>
        <w:t>”</w:t>
      </w:r>
      <w:r>
        <w:rPr>
          <w:rFonts w:hint="eastAsia" w:ascii="仿宋_GB2312" w:hAnsi="仿宋_GB2312" w:eastAsia="仿宋_GB2312" w:cs="仿宋_GB2312"/>
          <w:color w:val="auto"/>
          <w:kern w:val="2"/>
          <w:sz w:val="32"/>
          <w:szCs w:val="21"/>
          <w:highlight w:val="none"/>
          <w:lang w:val="en-US" w:eastAsia="zh-CN"/>
        </w:rPr>
        <w:t>工程</w:t>
      </w:r>
      <w:r>
        <w:rPr>
          <w:rFonts w:ascii="仿宋_GB2312" w:hAnsi="仿宋_GB2312" w:eastAsia="仿宋_GB2312" w:cs="仿宋_GB2312"/>
          <w:color w:val="auto"/>
          <w:kern w:val="2"/>
          <w:sz w:val="32"/>
          <w:szCs w:val="21"/>
          <w:highlight w:val="none"/>
        </w:rPr>
        <w:t>的系统实施，</w:t>
      </w:r>
      <w:r>
        <w:rPr>
          <w:rFonts w:hint="eastAsia" w:ascii="仿宋_GB2312" w:hAnsi="仿宋_GB2312" w:eastAsia="仿宋_GB2312" w:cs="仿宋_GB2312"/>
          <w:color w:val="auto"/>
          <w:kern w:val="2"/>
          <w:sz w:val="32"/>
          <w:szCs w:val="21"/>
          <w:highlight w:val="none"/>
          <w:lang w:val="en-US" w:eastAsia="zh-CN"/>
        </w:rPr>
        <w:t>扶沟县</w:t>
      </w:r>
      <w:r>
        <w:rPr>
          <w:rFonts w:ascii="仿宋_GB2312" w:hAnsi="仿宋_GB2312" w:eastAsia="仿宋_GB2312" w:cs="仿宋_GB2312"/>
          <w:color w:val="auto"/>
          <w:kern w:val="2"/>
          <w:sz w:val="32"/>
          <w:szCs w:val="21"/>
          <w:highlight w:val="none"/>
        </w:rPr>
        <w:t>坚定落实</w:t>
      </w:r>
      <w:r>
        <w:rPr>
          <w:rFonts w:hint="eastAsia" w:ascii="仿宋_GB2312" w:hAnsi="仿宋_GB2312" w:eastAsia="仿宋_GB2312" w:cs="仿宋_GB2312"/>
          <w:color w:val="auto"/>
          <w:kern w:val="2"/>
          <w:sz w:val="32"/>
          <w:szCs w:val="21"/>
          <w:highlight w:val="none"/>
          <w:lang w:val="en-US" w:eastAsia="zh-CN"/>
        </w:rPr>
        <w:t>农业强县</w:t>
      </w:r>
      <w:r>
        <w:rPr>
          <w:rFonts w:ascii="仿宋_GB2312" w:hAnsi="仿宋_GB2312" w:eastAsia="仿宋_GB2312" w:cs="仿宋_GB2312"/>
          <w:color w:val="auto"/>
          <w:kern w:val="2"/>
          <w:sz w:val="32"/>
          <w:szCs w:val="21"/>
          <w:highlight w:val="none"/>
        </w:rPr>
        <w:t>、</w:t>
      </w:r>
      <w:r>
        <w:rPr>
          <w:rFonts w:hint="eastAsia" w:ascii="仿宋_GB2312" w:hAnsi="仿宋_GB2312" w:eastAsia="仿宋_GB2312" w:cs="仿宋_GB2312"/>
          <w:color w:val="auto"/>
          <w:kern w:val="2"/>
          <w:sz w:val="32"/>
          <w:szCs w:val="21"/>
          <w:highlight w:val="none"/>
          <w:lang w:val="en-US" w:eastAsia="zh-CN"/>
        </w:rPr>
        <w:t>工业兴县、文旅活县</w:t>
      </w:r>
      <w:r>
        <w:rPr>
          <w:rFonts w:ascii="仿宋_GB2312" w:hAnsi="仿宋_GB2312" w:eastAsia="仿宋_GB2312" w:cs="仿宋_GB2312"/>
          <w:color w:val="auto"/>
          <w:kern w:val="2"/>
          <w:sz w:val="32"/>
          <w:szCs w:val="21"/>
          <w:highlight w:val="none"/>
        </w:rPr>
        <w:t>、</w:t>
      </w:r>
      <w:r>
        <w:rPr>
          <w:rFonts w:hint="eastAsia" w:ascii="仿宋_GB2312" w:hAnsi="仿宋_GB2312" w:eastAsia="仿宋_GB2312" w:cs="仿宋_GB2312"/>
          <w:color w:val="auto"/>
          <w:kern w:val="2"/>
          <w:sz w:val="32"/>
          <w:szCs w:val="21"/>
          <w:highlight w:val="none"/>
          <w:lang w:val="en-US" w:eastAsia="zh-CN"/>
        </w:rPr>
        <w:t>交通畅县</w:t>
      </w:r>
      <w:r>
        <w:rPr>
          <w:rFonts w:hint="eastAsia" w:ascii="仿宋_GB2312" w:hAnsi="仿宋_GB2312" w:eastAsia="仿宋_GB2312" w:cs="仿宋_GB2312"/>
          <w:color w:val="auto"/>
          <w:kern w:val="2"/>
          <w:sz w:val="32"/>
          <w:szCs w:val="21"/>
          <w:highlight w:val="none"/>
        </w:rPr>
        <w:t>、</w:t>
      </w:r>
      <w:r>
        <w:rPr>
          <w:rFonts w:hint="eastAsia" w:ascii="仿宋_GB2312" w:hAnsi="仿宋_GB2312" w:eastAsia="仿宋_GB2312" w:cs="仿宋_GB2312"/>
          <w:color w:val="auto"/>
          <w:kern w:val="2"/>
          <w:sz w:val="32"/>
          <w:szCs w:val="21"/>
          <w:highlight w:val="none"/>
          <w:lang w:val="en-US" w:eastAsia="zh-CN"/>
        </w:rPr>
        <w:t>教育</w:t>
      </w:r>
      <w:r>
        <w:rPr>
          <w:rFonts w:ascii="仿宋_GB2312" w:hAnsi="仿宋_GB2312" w:eastAsia="仿宋_GB2312" w:cs="仿宋_GB2312"/>
          <w:color w:val="auto"/>
          <w:kern w:val="2"/>
          <w:sz w:val="32"/>
          <w:szCs w:val="21"/>
          <w:highlight w:val="none"/>
        </w:rPr>
        <w:t>名</w:t>
      </w:r>
      <w:r>
        <w:rPr>
          <w:rFonts w:hint="eastAsia" w:ascii="仿宋_GB2312" w:hAnsi="仿宋_GB2312" w:eastAsia="仿宋_GB2312" w:cs="仿宋_GB2312"/>
          <w:color w:val="auto"/>
          <w:kern w:val="2"/>
          <w:sz w:val="32"/>
          <w:szCs w:val="21"/>
          <w:highlight w:val="none"/>
          <w:lang w:val="en-US" w:eastAsia="zh-CN"/>
        </w:rPr>
        <w:t>县</w:t>
      </w:r>
      <w:r>
        <w:rPr>
          <w:rFonts w:hint="eastAsia" w:ascii="仿宋_GB2312" w:hAnsi="仿宋_GB2312" w:eastAsia="仿宋_GB2312" w:cs="仿宋_GB2312"/>
          <w:color w:val="auto"/>
          <w:kern w:val="2"/>
          <w:sz w:val="32"/>
          <w:szCs w:val="21"/>
          <w:highlight w:val="none"/>
          <w:lang w:eastAsia="zh-CN"/>
        </w:rPr>
        <w:t>、</w:t>
      </w:r>
      <w:r>
        <w:rPr>
          <w:rFonts w:ascii="仿宋_GB2312" w:hAnsi="仿宋_GB2312" w:eastAsia="仿宋_GB2312" w:cs="仿宋_GB2312"/>
          <w:color w:val="auto"/>
          <w:kern w:val="2"/>
          <w:sz w:val="32"/>
          <w:szCs w:val="21"/>
          <w:highlight w:val="none"/>
        </w:rPr>
        <w:t>创新驱动、新质推动、开放带动、项目拉动等发展战略，推动</w:t>
      </w:r>
      <w:r>
        <w:rPr>
          <w:rFonts w:hint="eastAsia" w:ascii="仿宋_GB2312" w:hAnsi="仿宋_GB2312" w:eastAsia="仿宋_GB2312" w:cs="仿宋_GB2312"/>
          <w:color w:val="auto"/>
          <w:kern w:val="2"/>
          <w:sz w:val="32"/>
          <w:szCs w:val="21"/>
          <w:highlight w:val="none"/>
          <w:lang w:val="en-US" w:eastAsia="zh-CN"/>
        </w:rPr>
        <w:t>扶沟县</w:t>
      </w:r>
      <w:r>
        <w:rPr>
          <w:rFonts w:ascii="仿宋_GB2312" w:hAnsi="仿宋_GB2312" w:eastAsia="仿宋_GB2312" w:cs="仿宋_GB2312"/>
          <w:color w:val="auto"/>
          <w:kern w:val="2"/>
          <w:sz w:val="32"/>
          <w:szCs w:val="21"/>
          <w:highlight w:val="none"/>
        </w:rPr>
        <w:t>产城融合</w:t>
      </w:r>
      <w:r>
        <w:rPr>
          <w:rFonts w:hint="eastAsia" w:ascii="仿宋_GB2312" w:hAnsi="仿宋_GB2312" w:eastAsia="仿宋_GB2312" w:cs="仿宋_GB2312"/>
          <w:color w:val="auto"/>
          <w:kern w:val="2"/>
          <w:sz w:val="32"/>
          <w:szCs w:val="21"/>
          <w:highlight w:val="none"/>
          <w:lang w:eastAsia="zh-CN"/>
        </w:rPr>
        <w:t>、</w:t>
      </w:r>
      <w:r>
        <w:rPr>
          <w:rFonts w:hint="eastAsia" w:ascii="仿宋_GB2312" w:hAnsi="仿宋_GB2312" w:eastAsia="仿宋_GB2312" w:cs="仿宋_GB2312"/>
          <w:color w:val="auto"/>
          <w:kern w:val="2"/>
          <w:sz w:val="32"/>
          <w:szCs w:val="21"/>
          <w:highlight w:val="none"/>
          <w:lang w:val="en-US" w:eastAsia="zh-CN"/>
        </w:rPr>
        <w:t>城乡融合、文旅融合</w:t>
      </w:r>
      <w:r>
        <w:rPr>
          <w:rFonts w:ascii="仿宋_GB2312" w:hAnsi="仿宋_GB2312" w:eastAsia="仿宋_GB2312" w:cs="仿宋_GB2312"/>
          <w:color w:val="auto"/>
          <w:kern w:val="2"/>
          <w:sz w:val="32"/>
          <w:szCs w:val="21"/>
          <w:highlight w:val="none"/>
        </w:rPr>
        <w:t>，构建</w:t>
      </w:r>
      <w:r>
        <w:rPr>
          <w:rFonts w:hint="eastAsia" w:ascii="仿宋_GB2312" w:hAnsi="仿宋_GB2312" w:eastAsia="仿宋_GB2312" w:cs="仿宋_GB2312"/>
          <w:color w:val="auto"/>
          <w:kern w:val="2"/>
          <w:sz w:val="32"/>
          <w:szCs w:val="21"/>
          <w:highlight w:val="none"/>
        </w:rPr>
        <w:t>文明、富裕、平安、宜居</w:t>
      </w:r>
      <w:r>
        <w:rPr>
          <w:rFonts w:hint="eastAsia" w:ascii="仿宋_GB2312" w:hAnsi="仿宋_GB2312" w:eastAsia="仿宋_GB2312" w:cs="仿宋_GB2312"/>
          <w:color w:val="auto"/>
          <w:kern w:val="2"/>
          <w:sz w:val="32"/>
          <w:szCs w:val="21"/>
          <w:highlight w:val="none"/>
          <w:lang w:val="en-US" w:eastAsia="zh-CN"/>
        </w:rPr>
        <w:t>和</w:t>
      </w:r>
      <w:r>
        <w:rPr>
          <w:rFonts w:hint="eastAsia" w:ascii="仿宋_GB2312" w:hAnsi="仿宋_GB2312" w:eastAsia="仿宋_GB2312" w:cs="仿宋_GB2312"/>
          <w:color w:val="auto"/>
          <w:kern w:val="2"/>
          <w:sz w:val="32"/>
          <w:szCs w:val="21"/>
          <w:highlight w:val="none"/>
        </w:rPr>
        <w:t>美丽</w:t>
      </w:r>
      <w:r>
        <w:rPr>
          <w:rFonts w:hint="eastAsia" w:ascii="仿宋_GB2312" w:hAnsi="仿宋_GB2312" w:eastAsia="仿宋_GB2312" w:cs="仿宋_GB2312"/>
          <w:color w:val="auto"/>
          <w:kern w:val="2"/>
          <w:sz w:val="32"/>
          <w:szCs w:val="21"/>
          <w:highlight w:val="none"/>
          <w:lang w:val="en-US" w:eastAsia="zh-CN"/>
        </w:rPr>
        <w:t>的现代化扶沟</w:t>
      </w:r>
      <w:r>
        <w:rPr>
          <w:rFonts w:ascii="仿宋_GB2312" w:hAnsi="仿宋_GB2312" w:eastAsia="仿宋_GB2312" w:cs="仿宋_GB2312"/>
          <w:color w:val="auto"/>
          <w:kern w:val="2"/>
          <w:sz w:val="32"/>
          <w:szCs w:val="21"/>
          <w:highlight w:val="none"/>
        </w:rPr>
        <w:t>。</w:t>
      </w:r>
    </w:p>
    <w:p w14:paraId="4323CD8B">
      <w:pPr>
        <w:pageBreakBefore w:val="0"/>
        <w:kinsoku/>
        <w:wordWrap/>
        <w:overflowPunct/>
        <w:topLinePunct w:val="0"/>
        <w:autoSpaceDE/>
        <w:bidi w:val="0"/>
        <w:adjustRightInd w:val="0"/>
        <w:snapToGrid w:val="0"/>
        <w:spacing w:line="560" w:lineRule="exact"/>
        <w:ind w:firstLine="643" w:firstLineChars="200"/>
        <w:textAlignment w:val="auto"/>
        <w:rPr>
          <w:rFonts w:hint="eastAsia" w:ascii="仿宋_GB2312" w:hAnsi="仿宋_GB2312" w:eastAsia="仿宋_GB2312" w:cs="仿宋_GB2312"/>
          <w:color w:val="auto"/>
          <w:kern w:val="2"/>
          <w:sz w:val="32"/>
          <w:szCs w:val="21"/>
          <w:highlight w:val="none"/>
          <w:lang w:eastAsia="zh-CN"/>
        </w:rPr>
      </w:pPr>
      <w:r>
        <w:rPr>
          <w:rFonts w:hint="eastAsia" w:ascii="楷体_GB2312" w:hAnsi="楷体_GB2312" w:eastAsia="楷体_GB2312" w:cs="楷体_GB2312"/>
          <w:b/>
          <w:bCs/>
          <w:color w:val="auto"/>
          <w:kern w:val="2"/>
          <w:sz w:val="32"/>
          <w:szCs w:val="32"/>
          <w:u w:val="none"/>
          <w:lang w:val="en-US" w:eastAsia="zh-CN" w:bidi="ar-SA"/>
        </w:rPr>
        <w:t>农业强县。</w:t>
      </w:r>
      <w:r>
        <w:rPr>
          <w:rFonts w:hint="eastAsia" w:ascii="仿宋_GB2312" w:hAnsi="仿宋_GB2312" w:eastAsia="仿宋_GB2312" w:cs="仿宋_GB2312"/>
          <w:color w:val="auto"/>
          <w:kern w:val="2"/>
          <w:sz w:val="32"/>
          <w:szCs w:val="21"/>
          <w:highlight w:val="none"/>
          <w:lang w:eastAsia="zh-CN"/>
        </w:rPr>
        <w:t>立足农业大县根基，紧扣产业升级主线，以“全生态蔬菜之都”建设为核心，聚焦种质创新、标准种植、精深加工、品牌塑造、三产融合，做强蔬菜、粮食、畜牧等特色产业，培育壮大新型农业经营主体，完善仓储冷链、数字农业等支撑体系，构建“从田间到餐桌”全链条产业格局，以农业现代化筑牢县域经济高质量发展压舱石。</w:t>
      </w:r>
    </w:p>
    <w:p w14:paraId="024BB936">
      <w:pPr>
        <w:pageBreakBefore w:val="0"/>
        <w:kinsoku/>
        <w:wordWrap/>
        <w:overflowPunct/>
        <w:topLinePunct w:val="0"/>
        <w:autoSpaceDE/>
        <w:bidi w:val="0"/>
        <w:adjustRightInd w:val="0"/>
        <w:snapToGrid w:val="0"/>
        <w:spacing w:line="560" w:lineRule="exact"/>
        <w:ind w:firstLine="643" w:firstLineChars="200"/>
        <w:textAlignment w:val="auto"/>
        <w:rPr>
          <w:rFonts w:hint="default" w:ascii="仿宋_GB2312" w:hAnsi="仿宋_GB2312" w:eastAsia="仿宋_GB2312" w:cs="仿宋_GB2312"/>
          <w:color w:val="auto"/>
          <w:kern w:val="2"/>
          <w:sz w:val="32"/>
          <w:szCs w:val="21"/>
          <w:highlight w:val="none"/>
          <w:u w:val="none"/>
          <w:lang w:val="en-US" w:eastAsia="zh-CN" w:bidi="ar-SA"/>
        </w:rPr>
      </w:pPr>
      <w:r>
        <w:rPr>
          <w:rFonts w:hint="eastAsia" w:ascii="楷体_GB2312" w:hAnsi="楷体_GB2312" w:eastAsia="楷体_GB2312" w:cs="楷体_GB2312"/>
          <w:b/>
          <w:bCs/>
          <w:color w:val="auto"/>
          <w:kern w:val="2"/>
          <w:sz w:val="32"/>
          <w:szCs w:val="32"/>
          <w:u w:val="none"/>
          <w:lang w:val="en-US" w:eastAsia="zh-CN" w:bidi="ar-SA"/>
        </w:rPr>
        <w:t>工业兴县。</w:t>
      </w:r>
      <w:r>
        <w:rPr>
          <w:rFonts w:hint="default" w:ascii="仿宋_GB2312" w:hAnsi="仿宋_GB2312" w:eastAsia="仿宋_GB2312" w:cs="仿宋_GB2312"/>
          <w:color w:val="auto"/>
          <w:kern w:val="2"/>
          <w:sz w:val="32"/>
          <w:szCs w:val="21"/>
          <w:highlight w:val="none"/>
          <w:u w:val="none"/>
          <w:lang w:val="en-US" w:eastAsia="zh-CN" w:bidi="ar-SA"/>
        </w:rPr>
        <w:t>抢抓风口机遇，培育竞争优势，聚焦优势产业升级和新兴产业培育双轮驱动，以项目建设、科技创新、开放合作、环境优化为重点，做大做强汽车零部件、</w:t>
      </w:r>
      <w:r>
        <w:rPr>
          <w:rFonts w:hint="eastAsia" w:ascii="仿宋_GB2312" w:hAnsi="仿宋_GB2312" w:eastAsia="仿宋_GB2312" w:cs="仿宋_GB2312"/>
          <w:color w:val="auto"/>
          <w:kern w:val="2"/>
          <w:sz w:val="32"/>
          <w:szCs w:val="21"/>
          <w:highlight w:val="none"/>
          <w:u w:val="none"/>
          <w:lang w:val="en-US" w:eastAsia="zh-CN" w:bidi="ar-SA"/>
        </w:rPr>
        <w:t>纺织印染</w:t>
      </w:r>
      <w:r>
        <w:rPr>
          <w:rFonts w:hint="default" w:ascii="仿宋_GB2312" w:hAnsi="仿宋_GB2312" w:eastAsia="仿宋_GB2312" w:cs="仿宋_GB2312"/>
          <w:color w:val="auto"/>
          <w:kern w:val="2"/>
          <w:sz w:val="32"/>
          <w:szCs w:val="21"/>
          <w:highlight w:val="none"/>
          <w:u w:val="none"/>
          <w:lang w:val="en-US" w:eastAsia="zh-CN" w:bidi="ar-SA"/>
        </w:rPr>
        <w:t>、</w:t>
      </w:r>
      <w:r>
        <w:rPr>
          <w:rFonts w:hint="eastAsia" w:ascii="仿宋_GB2312" w:hAnsi="仿宋_GB2312" w:eastAsia="仿宋_GB2312" w:cs="仿宋_GB2312"/>
          <w:color w:val="auto"/>
          <w:kern w:val="2"/>
          <w:sz w:val="32"/>
          <w:szCs w:val="21"/>
          <w:highlight w:val="none"/>
          <w:u w:val="none"/>
          <w:lang w:val="en-US" w:eastAsia="zh-CN" w:bidi="ar-SA"/>
        </w:rPr>
        <w:t>节能环保</w:t>
      </w:r>
      <w:r>
        <w:rPr>
          <w:rFonts w:hint="default" w:ascii="仿宋_GB2312" w:hAnsi="仿宋_GB2312" w:eastAsia="仿宋_GB2312" w:cs="仿宋_GB2312"/>
          <w:color w:val="auto"/>
          <w:kern w:val="2"/>
          <w:sz w:val="32"/>
          <w:szCs w:val="21"/>
          <w:highlight w:val="none"/>
          <w:u w:val="none"/>
          <w:lang w:val="en-US" w:eastAsia="zh-CN" w:bidi="ar-SA"/>
        </w:rPr>
        <w:t>等优势产业，培育发展绿色食品、绿色</w:t>
      </w:r>
      <w:r>
        <w:rPr>
          <w:rFonts w:hint="eastAsia" w:ascii="仿宋_GB2312" w:hAnsi="仿宋_GB2312" w:eastAsia="仿宋_GB2312" w:cs="仿宋_GB2312"/>
          <w:color w:val="auto"/>
          <w:kern w:val="2"/>
          <w:sz w:val="32"/>
          <w:szCs w:val="21"/>
          <w:highlight w:val="none"/>
          <w:u w:val="none"/>
          <w:lang w:val="en-US" w:eastAsia="zh-CN" w:bidi="ar-SA"/>
        </w:rPr>
        <w:t>能源</w:t>
      </w:r>
      <w:r>
        <w:rPr>
          <w:rFonts w:hint="default" w:ascii="仿宋_GB2312" w:hAnsi="仿宋_GB2312" w:eastAsia="仿宋_GB2312" w:cs="仿宋_GB2312"/>
          <w:color w:val="auto"/>
          <w:kern w:val="2"/>
          <w:sz w:val="32"/>
          <w:szCs w:val="21"/>
          <w:highlight w:val="none"/>
          <w:u w:val="none"/>
          <w:lang w:val="en-US" w:eastAsia="zh-CN" w:bidi="ar-SA"/>
        </w:rPr>
        <w:t>、人工智能、低空经济等潜力产业，着力构建现代化产业体系，为县域经济高质量发展蓄积强劲动能</w:t>
      </w:r>
      <w:r>
        <w:rPr>
          <w:rFonts w:hint="eastAsia" w:ascii="仿宋_GB2312" w:hAnsi="仿宋_GB2312" w:eastAsia="仿宋_GB2312" w:cs="仿宋_GB2312"/>
          <w:color w:val="auto"/>
          <w:kern w:val="2"/>
          <w:sz w:val="32"/>
          <w:szCs w:val="21"/>
          <w:highlight w:val="none"/>
          <w:u w:val="none"/>
          <w:lang w:val="en-US" w:eastAsia="zh-CN" w:bidi="ar-SA"/>
        </w:rPr>
        <w:t>。</w:t>
      </w:r>
    </w:p>
    <w:p w14:paraId="7CB1E45B">
      <w:pPr>
        <w:pageBreakBefore w:val="0"/>
        <w:kinsoku/>
        <w:wordWrap/>
        <w:overflowPunct/>
        <w:topLinePunct w:val="0"/>
        <w:autoSpaceDE/>
        <w:bidi w:val="0"/>
        <w:adjustRightInd w:val="0"/>
        <w:snapToGrid w:val="0"/>
        <w:spacing w:line="560" w:lineRule="exact"/>
        <w:ind w:firstLine="643" w:firstLineChars="200"/>
        <w:textAlignment w:val="auto"/>
        <w:rPr>
          <w:rFonts w:hint="default" w:ascii="仿宋_GB2312" w:hAnsi="仿宋_GB2312" w:eastAsia="仿宋_GB2312" w:cs="仿宋_GB2312"/>
          <w:color w:val="auto"/>
          <w:kern w:val="2"/>
          <w:sz w:val="32"/>
          <w:szCs w:val="21"/>
          <w:u w:val="none"/>
          <w:lang w:val="en-US" w:eastAsia="zh-CN" w:bidi="ar-SA"/>
        </w:rPr>
      </w:pPr>
      <w:bookmarkStart w:id="42" w:name="_Toc1727"/>
      <w:bookmarkStart w:id="43" w:name="_Toc17759"/>
      <w:bookmarkStart w:id="44" w:name="_Toc27117"/>
      <w:bookmarkStart w:id="45" w:name="_Toc17400"/>
      <w:bookmarkStart w:id="46" w:name="_Toc22777"/>
      <w:bookmarkStart w:id="47" w:name="_Toc6270"/>
      <w:bookmarkStart w:id="48" w:name="_Toc4221"/>
      <w:r>
        <w:rPr>
          <w:rFonts w:hint="default" w:ascii="楷体_GB2312" w:hAnsi="楷体_GB2312" w:eastAsia="楷体_GB2312" w:cs="楷体_GB2312"/>
          <w:b/>
          <w:bCs/>
          <w:color w:val="auto"/>
          <w:kern w:val="2"/>
          <w:sz w:val="32"/>
          <w:szCs w:val="32"/>
          <w:u w:val="none"/>
          <w:lang w:val="en-US" w:eastAsia="zh-CN" w:bidi="ar-SA"/>
        </w:rPr>
        <w:t>文旅</w:t>
      </w:r>
      <w:bookmarkEnd w:id="42"/>
      <w:bookmarkEnd w:id="43"/>
      <w:bookmarkEnd w:id="44"/>
      <w:bookmarkEnd w:id="45"/>
      <w:bookmarkEnd w:id="46"/>
      <w:bookmarkEnd w:id="47"/>
      <w:bookmarkEnd w:id="48"/>
      <w:r>
        <w:rPr>
          <w:rFonts w:hint="eastAsia" w:ascii="楷体_GB2312" w:hAnsi="楷体_GB2312" w:eastAsia="楷体_GB2312" w:cs="楷体_GB2312"/>
          <w:b/>
          <w:bCs/>
          <w:color w:val="auto"/>
          <w:kern w:val="2"/>
          <w:sz w:val="32"/>
          <w:szCs w:val="32"/>
          <w:u w:val="none"/>
          <w:lang w:val="en-US" w:eastAsia="zh-CN" w:bidi="ar-SA"/>
        </w:rPr>
        <w:t>活县</w:t>
      </w:r>
      <w:r>
        <w:rPr>
          <w:rFonts w:hint="default" w:ascii="楷体_GB2312" w:hAnsi="楷体_GB2312" w:eastAsia="楷体_GB2312" w:cs="楷体_GB2312"/>
          <w:b/>
          <w:bCs/>
          <w:color w:val="auto"/>
          <w:kern w:val="2"/>
          <w:sz w:val="32"/>
          <w:szCs w:val="32"/>
          <w:u w:val="none"/>
          <w:lang w:val="en-US" w:eastAsia="zh-CN" w:bidi="ar-SA"/>
        </w:rPr>
        <w:t>。</w:t>
      </w:r>
      <w:r>
        <w:rPr>
          <w:rFonts w:hint="default" w:ascii="仿宋_GB2312" w:hAnsi="仿宋_GB2312" w:eastAsia="仿宋_GB2312" w:cs="仿宋_GB2312"/>
          <w:color w:val="auto"/>
          <w:kern w:val="2"/>
          <w:sz w:val="32"/>
          <w:szCs w:val="21"/>
          <w:u w:val="none"/>
          <w:lang w:val="en-US" w:eastAsia="zh-CN" w:bidi="ar-SA"/>
        </w:rPr>
        <w:t>坚持以文塑旅，以旅彰文，充分发挥</w:t>
      </w:r>
      <w:r>
        <w:rPr>
          <w:rFonts w:hint="eastAsia" w:ascii="仿宋_GB2312" w:hAnsi="仿宋_GB2312" w:eastAsia="仿宋_GB2312" w:cs="仿宋_GB2312"/>
          <w:color w:val="auto"/>
          <w:kern w:val="2"/>
          <w:sz w:val="32"/>
          <w:szCs w:val="21"/>
          <w:u w:val="none"/>
          <w:lang w:val="en-US" w:eastAsia="zh-CN" w:bidi="ar-SA"/>
        </w:rPr>
        <w:t>扶沟县文旅</w:t>
      </w:r>
      <w:r>
        <w:rPr>
          <w:rFonts w:hint="default" w:ascii="仿宋_GB2312" w:hAnsi="仿宋_GB2312" w:eastAsia="仿宋_GB2312" w:cs="仿宋_GB2312"/>
          <w:color w:val="auto"/>
          <w:kern w:val="2"/>
          <w:sz w:val="32"/>
          <w:szCs w:val="21"/>
          <w:u w:val="none"/>
          <w:lang w:val="en-US" w:eastAsia="zh-CN" w:bidi="ar-SA"/>
        </w:rPr>
        <w:t>资源优势，丰富旅游业态，不断推出新的旅游场景，强化自身旅游符号，推动文旅产业实现高质量发展。</w:t>
      </w:r>
    </w:p>
    <w:p w14:paraId="75F12677">
      <w:pPr>
        <w:pageBreakBefore w:val="0"/>
        <w:kinsoku/>
        <w:wordWrap/>
        <w:overflowPunct/>
        <w:topLinePunct w:val="0"/>
        <w:autoSpaceDE/>
        <w:bidi w:val="0"/>
        <w:adjustRightInd w:val="0"/>
        <w:snapToGrid w:val="0"/>
        <w:spacing w:line="560" w:lineRule="exact"/>
        <w:ind w:firstLine="643" w:firstLineChars="200"/>
        <w:textAlignment w:val="auto"/>
        <w:rPr>
          <w:rFonts w:hint="default" w:ascii="仿宋_GB2312" w:hAnsi="仿宋_GB2312" w:eastAsia="仿宋_GB2312" w:cs="仿宋_GB2312"/>
          <w:color w:val="auto"/>
          <w:kern w:val="2"/>
          <w:sz w:val="32"/>
          <w:szCs w:val="21"/>
          <w:u w:val="none"/>
          <w:lang w:val="en-US" w:eastAsia="zh-CN" w:bidi="ar-SA"/>
        </w:rPr>
      </w:pPr>
      <w:r>
        <w:rPr>
          <w:rFonts w:hint="eastAsia" w:ascii="楷体_GB2312" w:hAnsi="楷体_GB2312" w:eastAsia="楷体_GB2312" w:cs="楷体_GB2312"/>
          <w:b/>
          <w:bCs/>
          <w:color w:val="auto"/>
          <w:kern w:val="2"/>
          <w:sz w:val="32"/>
          <w:szCs w:val="32"/>
          <w:u w:val="none"/>
          <w:lang w:val="en-US" w:eastAsia="zh-CN" w:bidi="ar-SA"/>
        </w:rPr>
        <w:t>交通畅县</w:t>
      </w:r>
      <w:r>
        <w:rPr>
          <w:rFonts w:hint="default" w:ascii="楷体_GB2312" w:hAnsi="楷体_GB2312" w:eastAsia="楷体_GB2312" w:cs="楷体_GB2312"/>
          <w:b/>
          <w:bCs/>
          <w:color w:val="auto"/>
          <w:kern w:val="2"/>
          <w:sz w:val="32"/>
          <w:szCs w:val="32"/>
          <w:u w:val="none"/>
          <w:lang w:val="en-US" w:eastAsia="zh-CN" w:bidi="ar-SA"/>
        </w:rPr>
        <w:t>。</w:t>
      </w:r>
      <w:r>
        <w:rPr>
          <w:rFonts w:hint="eastAsia" w:ascii="仿宋_GB2312" w:hAnsi="仿宋_GB2312" w:eastAsia="仿宋_GB2312" w:cs="仿宋_GB2312"/>
          <w:color w:val="auto"/>
          <w:kern w:val="2"/>
          <w:sz w:val="32"/>
          <w:szCs w:val="21"/>
          <w:u w:val="none"/>
          <w:lang w:val="en-US" w:eastAsia="zh-CN" w:bidi="ar-SA"/>
        </w:rPr>
        <w:t>通过</w:t>
      </w:r>
      <w:r>
        <w:rPr>
          <w:rFonts w:hint="default" w:ascii="仿宋_GB2312" w:hAnsi="仿宋_GB2312" w:eastAsia="仿宋_GB2312" w:cs="仿宋_GB2312"/>
          <w:color w:val="auto"/>
          <w:kern w:val="2"/>
          <w:sz w:val="32"/>
          <w:szCs w:val="21"/>
          <w:u w:val="none"/>
          <w:lang w:val="en-US" w:eastAsia="zh-CN" w:bidi="ar-SA"/>
        </w:rPr>
        <w:t>基础设施网络优化、运输服务提质增效、智慧技术深度融合、绿色安全低碳发展以及行业治理能力现代化等多个维度，持续迭代升级“外联内畅”立体交通网，以基础设施硬实力为</w:t>
      </w:r>
      <w:r>
        <w:rPr>
          <w:rFonts w:hint="eastAsia" w:ascii="仿宋_GB2312" w:hAnsi="仿宋_GB2312" w:eastAsia="仿宋_GB2312" w:cs="仿宋_GB2312"/>
          <w:color w:val="auto"/>
          <w:kern w:val="2"/>
          <w:sz w:val="32"/>
          <w:szCs w:val="21"/>
          <w:u w:val="none"/>
          <w:lang w:val="en-US" w:eastAsia="zh-CN" w:bidi="ar-SA"/>
        </w:rPr>
        <w:t>县域经济</w:t>
      </w:r>
      <w:r>
        <w:rPr>
          <w:rFonts w:hint="default" w:ascii="仿宋_GB2312" w:hAnsi="仿宋_GB2312" w:eastAsia="仿宋_GB2312" w:cs="仿宋_GB2312"/>
          <w:color w:val="auto"/>
          <w:kern w:val="2"/>
          <w:sz w:val="32"/>
          <w:szCs w:val="21"/>
          <w:u w:val="none"/>
          <w:lang w:val="en-US" w:eastAsia="zh-CN" w:bidi="ar-SA"/>
        </w:rPr>
        <w:t>高质量发展提供强支撑。</w:t>
      </w:r>
    </w:p>
    <w:p w14:paraId="2EC38280">
      <w:pPr>
        <w:pageBreakBefore w:val="0"/>
        <w:kinsoku/>
        <w:wordWrap/>
        <w:overflowPunct/>
        <w:topLinePunct w:val="0"/>
        <w:autoSpaceDE/>
        <w:bidi w:val="0"/>
        <w:adjustRightInd w:val="0"/>
        <w:snapToGrid w:val="0"/>
        <w:spacing w:line="560" w:lineRule="exact"/>
        <w:ind w:firstLine="643" w:firstLineChars="200"/>
        <w:textAlignment w:val="auto"/>
        <w:rPr>
          <w:rFonts w:hint="default" w:ascii="仿宋_GB2312" w:hAnsi="仿宋_GB2312" w:eastAsia="仿宋_GB2312" w:cs="仿宋_GB2312"/>
          <w:color w:val="auto"/>
          <w:kern w:val="2"/>
          <w:sz w:val="32"/>
          <w:szCs w:val="21"/>
          <w:u w:val="none"/>
          <w:lang w:val="en-US" w:eastAsia="zh-CN" w:bidi="ar-SA"/>
        </w:rPr>
      </w:pPr>
      <w:r>
        <w:rPr>
          <w:rFonts w:hint="eastAsia" w:ascii="楷体_GB2312" w:hAnsi="楷体_GB2312" w:eastAsia="楷体_GB2312" w:cs="楷体_GB2312"/>
          <w:b/>
          <w:bCs/>
          <w:color w:val="auto"/>
          <w:kern w:val="2"/>
          <w:sz w:val="32"/>
          <w:szCs w:val="32"/>
          <w:u w:val="none"/>
          <w:lang w:val="en-US" w:eastAsia="zh-CN" w:bidi="ar-SA"/>
        </w:rPr>
        <w:t>教育名县</w:t>
      </w:r>
      <w:r>
        <w:rPr>
          <w:rFonts w:hint="default" w:ascii="楷体_GB2312" w:hAnsi="楷体_GB2312" w:eastAsia="楷体_GB2312" w:cs="楷体_GB2312"/>
          <w:b/>
          <w:bCs/>
          <w:color w:val="auto"/>
          <w:kern w:val="2"/>
          <w:sz w:val="32"/>
          <w:szCs w:val="32"/>
          <w:u w:val="none"/>
          <w:lang w:val="en-US" w:eastAsia="zh-CN" w:bidi="ar-SA"/>
        </w:rPr>
        <w:t>。</w:t>
      </w:r>
      <w:r>
        <w:rPr>
          <w:rFonts w:hint="default" w:ascii="仿宋_GB2312" w:hAnsi="仿宋_GB2312" w:eastAsia="仿宋_GB2312" w:cs="仿宋_GB2312"/>
          <w:color w:val="auto"/>
          <w:kern w:val="2"/>
          <w:sz w:val="32"/>
          <w:szCs w:val="21"/>
          <w:u w:val="none"/>
          <w:lang w:val="en-US" w:eastAsia="zh-CN" w:bidi="ar-SA"/>
        </w:rPr>
        <w:t>锚定全省教育强县、全国教育名县目标，统筹推进学前教育普惠发展、义务教育优质均衡发展、高中教育多样化发展，推动县内高等教育与本地产业深度对接，以教育链、人才链精准对接产业链，以优质教育驱动经济可持续创新发展，打造豫西南教育高地。</w:t>
      </w:r>
    </w:p>
    <w:p w14:paraId="447C36FB">
      <w:pPr>
        <w:pageBreakBefore w:val="0"/>
        <w:kinsoku/>
        <w:wordWrap/>
        <w:overflowPunct/>
        <w:topLinePunct w:val="0"/>
        <w:autoSpaceDE/>
        <w:bidi w:val="0"/>
        <w:adjustRightInd w:val="0"/>
        <w:snapToGrid w:val="0"/>
        <w:spacing w:line="560" w:lineRule="exact"/>
        <w:ind w:firstLine="643" w:firstLineChars="200"/>
        <w:textAlignment w:val="auto"/>
        <w:rPr>
          <w:rFonts w:hint="default" w:ascii="仿宋_GB2312" w:hAnsi="仿宋_GB2312" w:eastAsia="仿宋_GB2312" w:cs="仿宋_GB2312"/>
          <w:color w:val="auto"/>
          <w:kern w:val="2"/>
          <w:sz w:val="32"/>
          <w:szCs w:val="21"/>
          <w:u w:val="none"/>
          <w:lang w:val="en-US" w:eastAsia="zh-CN" w:bidi="ar-SA"/>
        </w:rPr>
      </w:pPr>
      <w:bookmarkStart w:id="49" w:name="_Toc8422"/>
      <w:bookmarkStart w:id="50" w:name="_Toc8122"/>
      <w:bookmarkStart w:id="51" w:name="_Toc8920"/>
      <w:bookmarkStart w:id="52" w:name="_Toc1080"/>
      <w:bookmarkStart w:id="53" w:name="_Toc31613"/>
      <w:bookmarkStart w:id="54" w:name="_Toc14115"/>
      <w:bookmarkStart w:id="55" w:name="_Toc21799"/>
      <w:r>
        <w:rPr>
          <w:rFonts w:hint="default" w:ascii="楷体_GB2312" w:hAnsi="楷体_GB2312" w:eastAsia="楷体_GB2312" w:cs="楷体_GB2312"/>
          <w:b/>
          <w:bCs/>
          <w:color w:val="auto"/>
          <w:kern w:val="2"/>
          <w:sz w:val="32"/>
          <w:szCs w:val="32"/>
          <w:u w:val="none"/>
          <w:lang w:val="en-US" w:eastAsia="zh-CN" w:bidi="ar-SA"/>
        </w:rPr>
        <w:t>创新驱动</w:t>
      </w:r>
      <w:bookmarkEnd w:id="49"/>
      <w:bookmarkEnd w:id="50"/>
      <w:bookmarkEnd w:id="51"/>
      <w:bookmarkEnd w:id="52"/>
      <w:bookmarkEnd w:id="53"/>
      <w:bookmarkEnd w:id="54"/>
      <w:bookmarkEnd w:id="55"/>
      <w:r>
        <w:rPr>
          <w:rFonts w:hint="default" w:ascii="楷体_GB2312" w:hAnsi="楷体_GB2312" w:eastAsia="楷体_GB2312" w:cs="楷体_GB2312"/>
          <w:b/>
          <w:bCs/>
          <w:color w:val="auto"/>
          <w:kern w:val="2"/>
          <w:sz w:val="32"/>
          <w:szCs w:val="32"/>
          <w:u w:val="none"/>
          <w:lang w:val="en-US" w:eastAsia="zh-CN" w:bidi="ar-SA"/>
        </w:rPr>
        <w:t>。</w:t>
      </w:r>
      <w:r>
        <w:rPr>
          <w:rFonts w:hint="default" w:ascii="仿宋_GB2312" w:hAnsi="仿宋_GB2312" w:eastAsia="仿宋_GB2312" w:cs="仿宋_GB2312"/>
          <w:color w:val="auto"/>
          <w:kern w:val="2"/>
          <w:sz w:val="32"/>
          <w:szCs w:val="21"/>
          <w:u w:val="none"/>
          <w:lang w:val="en-US" w:eastAsia="zh-CN" w:bidi="ar-SA"/>
        </w:rPr>
        <w:t>坚持创新驱动发展，加快落实“科技型中小企业、高新技术企业、专精特新企业、雏鹰瞪羚企业”梯度成长培育举措，为</w:t>
      </w:r>
      <w:r>
        <w:rPr>
          <w:rFonts w:hint="eastAsia" w:ascii="仿宋_GB2312" w:hAnsi="仿宋_GB2312" w:eastAsia="仿宋_GB2312" w:cs="仿宋_GB2312"/>
          <w:color w:val="auto"/>
          <w:kern w:val="2"/>
          <w:sz w:val="32"/>
          <w:szCs w:val="21"/>
          <w:u w:val="none"/>
          <w:lang w:val="en-US" w:eastAsia="zh-CN" w:bidi="ar-SA"/>
        </w:rPr>
        <w:t>扶沟县</w:t>
      </w:r>
      <w:r>
        <w:rPr>
          <w:rFonts w:hint="default" w:ascii="仿宋_GB2312" w:hAnsi="仿宋_GB2312" w:eastAsia="仿宋_GB2312" w:cs="仿宋_GB2312"/>
          <w:color w:val="auto"/>
          <w:kern w:val="2"/>
          <w:sz w:val="32"/>
          <w:szCs w:val="21"/>
          <w:u w:val="none"/>
          <w:lang w:val="en-US" w:eastAsia="zh-CN" w:bidi="ar-SA"/>
        </w:rPr>
        <w:t>的持续高质量发展培育新动能。</w:t>
      </w:r>
    </w:p>
    <w:p w14:paraId="2DB6804A">
      <w:pPr>
        <w:adjustRightInd w:val="0"/>
        <w:snapToGrid w:val="0"/>
        <w:spacing w:line="560" w:lineRule="exact"/>
        <w:ind w:firstLine="643" w:firstLineChars="200"/>
        <w:rPr>
          <w:rFonts w:hint="default" w:ascii="仿宋_GB2312" w:hAnsi="仿宋_GB2312" w:eastAsia="仿宋_GB2312" w:cs="仿宋_GB2312"/>
          <w:color w:val="auto"/>
          <w:kern w:val="2"/>
          <w:sz w:val="32"/>
          <w:szCs w:val="21"/>
          <w:u w:val="none"/>
          <w:lang w:val="en-US" w:eastAsia="zh-CN" w:bidi="ar-SA"/>
        </w:rPr>
      </w:pPr>
      <w:bookmarkStart w:id="56" w:name="_Toc31552"/>
      <w:bookmarkStart w:id="57" w:name="_Toc31169"/>
      <w:bookmarkStart w:id="58" w:name="_Toc24179"/>
      <w:bookmarkStart w:id="59" w:name="_Toc17504"/>
      <w:bookmarkStart w:id="60" w:name="_Toc15416"/>
      <w:bookmarkStart w:id="61" w:name="_Toc31427"/>
      <w:bookmarkStart w:id="62" w:name="_Toc2156"/>
      <w:bookmarkStart w:id="63" w:name="_Toc2373"/>
      <w:bookmarkStart w:id="64" w:name="_Toc14624"/>
      <w:bookmarkStart w:id="65" w:name="_Toc2343"/>
      <w:bookmarkStart w:id="66" w:name="_Toc19902"/>
      <w:bookmarkStart w:id="67" w:name="_Toc13183"/>
      <w:r>
        <w:rPr>
          <w:rFonts w:ascii="楷体_GB2312" w:hAnsi="楷体_GB2312" w:eastAsia="楷体_GB2312" w:cs="楷体_GB2312"/>
          <w:b/>
          <w:bCs/>
          <w:color w:val="auto"/>
          <w:kern w:val="2"/>
          <w:sz w:val="32"/>
          <w:szCs w:val="32"/>
          <w:highlight w:val="none"/>
        </w:rPr>
        <w:t>新质推动</w:t>
      </w:r>
      <w:bookmarkEnd w:id="56"/>
      <w:bookmarkEnd w:id="57"/>
      <w:bookmarkEnd w:id="58"/>
      <w:bookmarkEnd w:id="59"/>
      <w:bookmarkEnd w:id="60"/>
      <w:bookmarkEnd w:id="61"/>
      <w:bookmarkEnd w:id="62"/>
      <w:bookmarkEnd w:id="63"/>
      <w:bookmarkEnd w:id="64"/>
      <w:bookmarkEnd w:id="65"/>
      <w:bookmarkEnd w:id="66"/>
      <w:bookmarkEnd w:id="67"/>
      <w:r>
        <w:rPr>
          <w:rFonts w:ascii="楷体_GB2312" w:hAnsi="楷体_GB2312" w:eastAsia="楷体_GB2312" w:cs="楷体_GB2312"/>
          <w:b/>
          <w:bCs/>
          <w:color w:val="auto"/>
          <w:kern w:val="2"/>
          <w:sz w:val="32"/>
          <w:szCs w:val="32"/>
          <w:highlight w:val="none"/>
        </w:rPr>
        <w:t>。</w:t>
      </w:r>
      <w:r>
        <w:rPr>
          <w:rFonts w:ascii="仿宋_GB2312" w:hAnsi="仿宋_GB2312" w:eastAsia="仿宋_GB2312" w:cs="仿宋_GB2312"/>
          <w:color w:val="auto"/>
          <w:kern w:val="2"/>
          <w:sz w:val="32"/>
          <w:szCs w:val="21"/>
          <w:highlight w:val="none"/>
        </w:rPr>
        <w:t>坚持因地制宜发展新质生产力，准确理解和把握新质生产力，走出引领</w:t>
      </w:r>
      <w:r>
        <w:rPr>
          <w:rFonts w:hint="eastAsia" w:ascii="仿宋_GB2312" w:hAnsi="仿宋_GB2312" w:eastAsia="仿宋_GB2312" w:cs="仿宋_GB2312"/>
          <w:color w:val="auto"/>
          <w:kern w:val="2"/>
          <w:sz w:val="32"/>
          <w:szCs w:val="21"/>
          <w:highlight w:val="none"/>
          <w:lang w:val="en-US" w:eastAsia="zh-CN"/>
        </w:rPr>
        <w:t>扶沟县</w:t>
      </w:r>
      <w:r>
        <w:rPr>
          <w:rFonts w:ascii="仿宋_GB2312" w:hAnsi="仿宋_GB2312" w:eastAsia="仿宋_GB2312" w:cs="仿宋_GB2312"/>
          <w:color w:val="auto"/>
          <w:kern w:val="2"/>
          <w:sz w:val="32"/>
          <w:szCs w:val="21"/>
          <w:highlight w:val="none"/>
        </w:rPr>
        <w:t>产业转型升级的新路径，加快形成以新质生产力为先导、战略性新兴产业为主导、传统产业为支撑的现代化产业体系，走出中国式现代化新道路和创造人类文明新形态的新实践。</w:t>
      </w:r>
    </w:p>
    <w:p w14:paraId="03E7D2C5">
      <w:pPr>
        <w:pageBreakBefore w:val="0"/>
        <w:kinsoku/>
        <w:wordWrap/>
        <w:overflowPunct/>
        <w:topLinePunct w:val="0"/>
        <w:autoSpaceDE/>
        <w:bidi w:val="0"/>
        <w:adjustRightInd w:val="0"/>
        <w:snapToGrid w:val="0"/>
        <w:spacing w:line="560" w:lineRule="exact"/>
        <w:ind w:firstLine="643" w:firstLineChars="200"/>
        <w:textAlignment w:val="auto"/>
        <w:rPr>
          <w:rFonts w:hint="default" w:ascii="仿宋_GB2312" w:hAnsi="仿宋_GB2312" w:eastAsia="仿宋_GB2312" w:cs="仿宋_GB2312"/>
          <w:color w:val="auto"/>
          <w:kern w:val="2"/>
          <w:sz w:val="32"/>
          <w:szCs w:val="21"/>
          <w:u w:val="none"/>
          <w:lang w:val="en-US" w:eastAsia="zh-CN" w:bidi="ar-SA"/>
        </w:rPr>
      </w:pPr>
      <w:bookmarkStart w:id="68" w:name="_Toc24795"/>
      <w:bookmarkStart w:id="69" w:name="_Toc19524"/>
      <w:bookmarkStart w:id="70" w:name="_Toc30723"/>
      <w:bookmarkStart w:id="71" w:name="_Toc29837"/>
      <w:bookmarkStart w:id="72" w:name="_Toc1128"/>
      <w:bookmarkStart w:id="73" w:name="_Toc18520"/>
      <w:bookmarkStart w:id="74" w:name="_Toc2615"/>
      <w:bookmarkStart w:id="75" w:name="_Toc7687"/>
      <w:bookmarkStart w:id="76" w:name="_Toc12838"/>
      <w:bookmarkStart w:id="77" w:name="_Toc28682"/>
      <w:bookmarkStart w:id="78" w:name="_Toc9257"/>
      <w:bookmarkStart w:id="79" w:name="_Toc9206"/>
      <w:r>
        <w:rPr>
          <w:rFonts w:hint="default" w:ascii="楷体_GB2312" w:hAnsi="楷体_GB2312" w:eastAsia="楷体_GB2312" w:cs="楷体_GB2312"/>
          <w:b/>
          <w:bCs/>
          <w:color w:val="auto"/>
          <w:kern w:val="2"/>
          <w:sz w:val="32"/>
          <w:szCs w:val="32"/>
          <w:u w:val="none"/>
          <w:lang w:val="en-US" w:eastAsia="zh-CN" w:bidi="ar-SA"/>
        </w:rPr>
        <w:t>开放带动</w:t>
      </w:r>
      <w:bookmarkEnd w:id="68"/>
      <w:bookmarkEnd w:id="69"/>
      <w:bookmarkEnd w:id="70"/>
      <w:bookmarkEnd w:id="71"/>
      <w:bookmarkEnd w:id="72"/>
      <w:bookmarkEnd w:id="73"/>
      <w:bookmarkEnd w:id="74"/>
      <w:bookmarkEnd w:id="75"/>
      <w:bookmarkEnd w:id="76"/>
      <w:bookmarkEnd w:id="77"/>
      <w:bookmarkEnd w:id="78"/>
      <w:bookmarkEnd w:id="79"/>
      <w:r>
        <w:rPr>
          <w:rFonts w:hint="default" w:ascii="楷体_GB2312" w:hAnsi="楷体_GB2312" w:eastAsia="楷体_GB2312" w:cs="楷体_GB2312"/>
          <w:b/>
          <w:bCs/>
          <w:color w:val="auto"/>
          <w:kern w:val="2"/>
          <w:sz w:val="32"/>
          <w:szCs w:val="32"/>
          <w:u w:val="none"/>
          <w:lang w:val="en-US" w:eastAsia="zh-CN" w:bidi="ar-SA"/>
        </w:rPr>
        <w:t>。</w:t>
      </w:r>
      <w:r>
        <w:rPr>
          <w:rFonts w:hint="default" w:ascii="仿宋_GB2312" w:hAnsi="仿宋_GB2312" w:eastAsia="仿宋_GB2312" w:cs="仿宋_GB2312"/>
          <w:color w:val="auto"/>
          <w:kern w:val="2"/>
          <w:sz w:val="32"/>
          <w:szCs w:val="21"/>
          <w:u w:val="none"/>
          <w:lang w:val="en-US" w:eastAsia="zh-CN" w:bidi="ar-SA"/>
        </w:rPr>
        <w:t>坚持开放带动发展，全面深化与经济发达地区合作，持续围绕壮大主导产业和培育新兴产业开展延链、补链、强链招商，完善市场化、专业化、精细化招商引资机制，创新实施以商招商、龙头招商、资本招商、回归招商等招商模式，提高招商引资质量。</w:t>
      </w:r>
    </w:p>
    <w:p w14:paraId="625CF025">
      <w:pPr>
        <w:pageBreakBefore w:val="0"/>
        <w:kinsoku/>
        <w:wordWrap/>
        <w:overflowPunct/>
        <w:topLinePunct w:val="0"/>
        <w:autoSpaceDE/>
        <w:bidi w:val="0"/>
        <w:adjustRightInd w:val="0"/>
        <w:snapToGrid w:val="0"/>
        <w:spacing w:line="560" w:lineRule="exact"/>
        <w:ind w:firstLine="643" w:firstLineChars="200"/>
        <w:textAlignment w:val="auto"/>
        <w:rPr>
          <w:rFonts w:hint="eastAsia" w:ascii="仿宋_GB2312" w:hAnsi="仿宋_GB2312" w:eastAsia="仿宋_GB2312" w:cs="仿宋_GB2312"/>
          <w:color w:val="auto"/>
          <w:kern w:val="2"/>
          <w:sz w:val="32"/>
          <w:szCs w:val="21"/>
          <w:u w:val="none"/>
          <w:lang w:val="en-US" w:eastAsia="zh-CN" w:bidi="ar-SA"/>
        </w:rPr>
      </w:pPr>
      <w:bookmarkStart w:id="80" w:name="_Toc31728"/>
      <w:bookmarkStart w:id="81" w:name="_Toc29826"/>
      <w:bookmarkStart w:id="82" w:name="_Toc9565"/>
      <w:bookmarkStart w:id="83" w:name="_Toc27667"/>
      <w:bookmarkStart w:id="84" w:name="_Toc21138"/>
      <w:bookmarkStart w:id="85" w:name="_Toc8082"/>
      <w:bookmarkStart w:id="86" w:name="_Toc146"/>
      <w:bookmarkStart w:id="87" w:name="_Toc29157"/>
      <w:bookmarkStart w:id="88" w:name="_Toc7916"/>
      <w:bookmarkStart w:id="89" w:name="_Toc24378"/>
      <w:bookmarkStart w:id="90" w:name="_Toc7216"/>
      <w:bookmarkStart w:id="91" w:name="_Toc15331"/>
      <w:r>
        <w:rPr>
          <w:rFonts w:hint="default" w:ascii="楷体_GB2312" w:hAnsi="楷体_GB2312" w:eastAsia="楷体_GB2312" w:cs="楷体_GB2312"/>
          <w:b/>
          <w:bCs/>
          <w:color w:val="auto"/>
          <w:kern w:val="2"/>
          <w:sz w:val="32"/>
          <w:szCs w:val="32"/>
          <w:u w:val="none"/>
          <w:lang w:val="en-US" w:eastAsia="zh-CN" w:bidi="ar-SA"/>
        </w:rPr>
        <w:t>项目</w:t>
      </w:r>
      <w:bookmarkEnd w:id="80"/>
      <w:bookmarkEnd w:id="81"/>
      <w:bookmarkEnd w:id="82"/>
      <w:bookmarkEnd w:id="83"/>
      <w:bookmarkEnd w:id="84"/>
      <w:r>
        <w:rPr>
          <w:rFonts w:hint="default" w:ascii="楷体_GB2312" w:hAnsi="楷体_GB2312" w:eastAsia="楷体_GB2312" w:cs="楷体_GB2312"/>
          <w:b/>
          <w:bCs/>
          <w:color w:val="auto"/>
          <w:kern w:val="2"/>
          <w:sz w:val="32"/>
          <w:szCs w:val="32"/>
          <w:u w:val="none"/>
          <w:lang w:val="en-US" w:eastAsia="zh-CN" w:bidi="ar-SA"/>
        </w:rPr>
        <w:t>拉动</w:t>
      </w:r>
      <w:bookmarkEnd w:id="85"/>
      <w:bookmarkEnd w:id="86"/>
      <w:bookmarkEnd w:id="87"/>
      <w:bookmarkEnd w:id="88"/>
      <w:bookmarkEnd w:id="89"/>
      <w:bookmarkEnd w:id="90"/>
      <w:bookmarkEnd w:id="91"/>
      <w:r>
        <w:rPr>
          <w:rFonts w:hint="default" w:ascii="楷体_GB2312" w:hAnsi="楷体_GB2312" w:eastAsia="楷体_GB2312" w:cs="楷体_GB2312"/>
          <w:b/>
          <w:bCs/>
          <w:color w:val="auto"/>
          <w:kern w:val="2"/>
          <w:sz w:val="32"/>
          <w:szCs w:val="32"/>
          <w:u w:val="none"/>
          <w:lang w:val="en-US" w:eastAsia="zh-CN" w:bidi="ar-SA"/>
        </w:rPr>
        <w:t>。</w:t>
      </w:r>
      <w:r>
        <w:rPr>
          <w:rFonts w:hint="default" w:ascii="仿宋_GB2312" w:hAnsi="仿宋_GB2312" w:eastAsia="仿宋_GB2312" w:cs="仿宋_GB2312"/>
          <w:color w:val="auto"/>
          <w:kern w:val="2"/>
          <w:sz w:val="32"/>
          <w:szCs w:val="21"/>
          <w:u w:val="none"/>
          <w:lang w:val="en-US" w:eastAsia="zh-CN" w:bidi="ar-SA"/>
        </w:rPr>
        <w:t>坚持树立“项目为王、招商为要、落地为大”理念，把握郑州都市圈</w:t>
      </w:r>
      <w:r>
        <w:rPr>
          <w:rFonts w:hint="eastAsia" w:ascii="仿宋_GB2312" w:hAnsi="仿宋_GB2312" w:eastAsia="仿宋_GB2312" w:cs="仿宋_GB2312"/>
          <w:color w:val="auto"/>
          <w:kern w:val="2"/>
          <w:sz w:val="32"/>
          <w:szCs w:val="21"/>
          <w:u w:val="none"/>
          <w:lang w:val="en-US" w:eastAsia="zh-CN" w:bidi="ar-SA"/>
        </w:rPr>
        <w:t>、周口国家区域中心港口城市</w:t>
      </w:r>
      <w:r>
        <w:rPr>
          <w:rFonts w:hint="default" w:ascii="仿宋_GB2312" w:hAnsi="仿宋_GB2312" w:eastAsia="仿宋_GB2312" w:cs="仿宋_GB2312"/>
          <w:color w:val="auto"/>
          <w:kern w:val="2"/>
          <w:sz w:val="32"/>
          <w:szCs w:val="21"/>
          <w:u w:val="none"/>
          <w:lang w:val="en-US" w:eastAsia="zh-CN" w:bidi="ar-SA"/>
        </w:rPr>
        <w:t>建设机遇，主动对接国内外优质企业，精准招商带动能力强、科技含量高、附加值高的优质企业和项目，以高质量项目建设支撑新型工业化</w:t>
      </w:r>
      <w:r>
        <w:rPr>
          <w:rFonts w:hint="eastAsia" w:ascii="仿宋_GB2312" w:hAnsi="仿宋_GB2312" w:eastAsia="仿宋_GB2312" w:cs="仿宋_GB2312"/>
          <w:color w:val="auto"/>
          <w:kern w:val="2"/>
          <w:sz w:val="32"/>
          <w:szCs w:val="21"/>
          <w:u w:val="none"/>
          <w:lang w:val="en-US" w:eastAsia="zh-CN" w:bidi="ar-SA"/>
        </w:rPr>
        <w:t>。</w:t>
      </w:r>
    </w:p>
    <w:p w14:paraId="2AD1754D">
      <w:pPr>
        <w:pStyle w:val="2"/>
        <w:bidi w:val="0"/>
        <w:jc w:val="center"/>
        <w:rPr>
          <w:rFonts w:hint="eastAsia" w:ascii="Times New Roman" w:hAnsi="Times New Roman" w:eastAsia="方正小标宋_GBK" w:cs="Times New Roman"/>
          <w:b/>
          <w:color w:val="auto"/>
          <w:kern w:val="2"/>
          <w:sz w:val="36"/>
          <w:szCs w:val="36"/>
          <w:highlight w:val="none"/>
          <w:u w:val="none"/>
          <w:lang w:val="en-US" w:eastAsia="zh-CN" w:bidi="ar-SA"/>
        </w:rPr>
      </w:pPr>
      <w:bookmarkStart w:id="92" w:name="_Toc15725"/>
      <w:bookmarkStart w:id="93" w:name="_Toc32398"/>
      <w:bookmarkStart w:id="94" w:name="_Toc8872"/>
      <w:r>
        <w:rPr>
          <w:rFonts w:hint="default" w:ascii="Times New Roman" w:hAnsi="Times New Roman" w:eastAsia="方正小标宋_GBK" w:cs="Times New Roman"/>
          <w:b/>
          <w:color w:val="auto"/>
          <w:kern w:val="2"/>
          <w:sz w:val="44"/>
          <w:szCs w:val="44"/>
          <w:highlight w:val="none"/>
        </w:rPr>
        <w:t>第</w:t>
      </w:r>
      <w:r>
        <w:rPr>
          <w:rFonts w:hint="eastAsia" w:ascii="Times New Roman" w:hAnsi="Times New Roman" w:eastAsia="方正小标宋_GBK" w:cs="Times New Roman"/>
          <w:b/>
          <w:color w:val="auto"/>
          <w:kern w:val="2"/>
          <w:sz w:val="44"/>
          <w:szCs w:val="44"/>
          <w:highlight w:val="none"/>
          <w:lang w:val="en-US" w:eastAsia="zh-CN"/>
        </w:rPr>
        <w:t>三</w:t>
      </w:r>
      <w:r>
        <w:rPr>
          <w:rFonts w:hint="default" w:ascii="Times New Roman" w:hAnsi="Times New Roman" w:eastAsia="方正小标宋_GBK" w:cs="Times New Roman"/>
          <w:b/>
          <w:color w:val="auto"/>
          <w:kern w:val="2"/>
          <w:sz w:val="44"/>
          <w:szCs w:val="44"/>
          <w:highlight w:val="none"/>
        </w:rPr>
        <w:t>篇：</w:t>
      </w:r>
      <w:r>
        <w:rPr>
          <w:rFonts w:hint="eastAsia" w:ascii="Times New Roman" w:hAnsi="Times New Roman" w:eastAsia="方正小标宋_GBK" w:cs="Times New Roman"/>
          <w:b/>
          <w:color w:val="auto"/>
          <w:kern w:val="2"/>
          <w:sz w:val="44"/>
          <w:szCs w:val="44"/>
          <w:highlight w:val="none"/>
          <w:lang w:val="en-US" w:eastAsia="zh-CN"/>
        </w:rPr>
        <w:t>奋进</w:t>
      </w:r>
      <w:r>
        <w:rPr>
          <w:rFonts w:hint="default" w:ascii="Times New Roman" w:hAnsi="Times New Roman" w:eastAsia="方正小标宋_GBK" w:cs="Times New Roman"/>
          <w:b/>
          <w:color w:val="auto"/>
          <w:kern w:val="2"/>
          <w:sz w:val="44"/>
          <w:szCs w:val="44"/>
          <w:highlight w:val="none"/>
        </w:rPr>
        <w:t>“十五五”——</w:t>
      </w:r>
      <w:r>
        <w:rPr>
          <w:rFonts w:hint="eastAsia" w:ascii="Times New Roman" w:hAnsi="Times New Roman" w:eastAsia="方正小标宋_GBK" w:cs="Times New Roman"/>
          <w:b/>
          <w:color w:val="auto"/>
          <w:kern w:val="2"/>
          <w:sz w:val="44"/>
          <w:szCs w:val="44"/>
          <w:highlight w:val="none"/>
          <w:lang w:val="en-US" w:eastAsia="zh-CN"/>
        </w:rPr>
        <w:t>落实六大板块任务谋</w:t>
      </w:r>
      <w:r>
        <w:rPr>
          <w:rFonts w:hint="default" w:ascii="Times New Roman" w:hAnsi="Times New Roman" w:eastAsia="方正小标宋_GBK" w:cs="Times New Roman"/>
          <w:b/>
          <w:color w:val="auto"/>
          <w:kern w:val="2"/>
          <w:sz w:val="44"/>
          <w:szCs w:val="44"/>
          <w:highlight w:val="none"/>
        </w:rPr>
        <w:t>发展</w:t>
      </w:r>
      <w:bookmarkEnd w:id="92"/>
      <w:bookmarkEnd w:id="93"/>
      <w:bookmarkEnd w:id="94"/>
    </w:p>
    <w:p w14:paraId="4C8C5D51">
      <w:pPr>
        <w:keepNext/>
        <w:keepLines/>
        <w:pageBreakBefore w:val="0"/>
        <w:widowControl w:val="0"/>
        <w:numPr>
          <w:ilvl w:val="0"/>
          <w:numId w:val="0"/>
        </w:numPr>
        <w:kinsoku/>
        <w:wordWrap/>
        <w:overflowPunct/>
        <w:topLinePunct w:val="0"/>
        <w:autoSpaceDE/>
        <w:autoSpaceDN/>
        <w:bidi w:val="0"/>
        <w:adjustRightInd w:val="0"/>
        <w:snapToGrid w:val="0"/>
        <w:spacing w:before="541" w:beforeLines="150" w:after="439" w:afterLines="100" w:line="560" w:lineRule="exact"/>
        <w:ind w:leftChars="0"/>
        <w:jc w:val="left"/>
        <w:textAlignment w:val="auto"/>
        <w:outlineLvl w:val="0"/>
        <w:rPr>
          <w:rFonts w:hint="default" w:ascii="Times New Roman" w:hAnsi="Times New Roman" w:eastAsia="方正小标宋_GBK" w:cs="Times New Roman"/>
          <w:b/>
          <w:color w:val="auto"/>
          <w:kern w:val="2"/>
          <w:sz w:val="36"/>
          <w:szCs w:val="36"/>
          <w:highlight w:val="none"/>
          <w:u w:val="none"/>
          <w:lang w:val="en-US" w:eastAsia="zh-CN" w:bidi="ar-SA"/>
        </w:rPr>
      </w:pPr>
      <w:bookmarkStart w:id="95" w:name="_Toc7733"/>
      <w:bookmarkStart w:id="96" w:name="_Toc4076"/>
      <w:bookmarkStart w:id="97" w:name="_Toc5029"/>
      <w:r>
        <w:rPr>
          <w:rFonts w:hint="eastAsia" w:ascii="Times New Roman" w:hAnsi="Times New Roman" w:eastAsia="方正小标宋_GBK" w:cs="Times New Roman"/>
          <w:b/>
          <w:color w:val="auto"/>
          <w:kern w:val="2"/>
          <w:sz w:val="36"/>
          <w:szCs w:val="36"/>
          <w:highlight w:val="none"/>
          <w:u w:val="none"/>
          <w:lang w:val="en-US" w:eastAsia="zh-CN" w:bidi="ar-SA"/>
        </w:rPr>
        <w:t>板块一：产业发展</w:t>
      </w:r>
      <w:bookmarkEnd w:id="95"/>
      <w:bookmarkEnd w:id="96"/>
    </w:p>
    <w:p w14:paraId="18A820D9">
      <w:pPr>
        <w:keepNext/>
        <w:keepLines/>
        <w:pageBreakBefore w:val="0"/>
        <w:widowControl w:val="0"/>
        <w:numPr>
          <w:ilvl w:val="0"/>
          <w:numId w:val="0"/>
        </w:numPr>
        <w:kinsoku/>
        <w:wordWrap/>
        <w:overflowPunct/>
        <w:topLinePunct w:val="0"/>
        <w:autoSpaceDE/>
        <w:autoSpaceDN/>
        <w:bidi w:val="0"/>
        <w:adjustRightInd w:val="0"/>
        <w:snapToGrid w:val="0"/>
        <w:spacing w:before="541" w:beforeLines="150" w:after="439" w:afterLines="100" w:line="560" w:lineRule="exact"/>
        <w:ind w:leftChars="0"/>
        <w:jc w:val="center"/>
        <w:textAlignment w:val="auto"/>
        <w:outlineLvl w:val="1"/>
        <w:rPr>
          <w:rFonts w:hint="eastAsia" w:ascii="Times New Roman" w:hAnsi="Times New Roman" w:eastAsia="方正小标宋_GBK" w:cs="Times New Roman"/>
          <w:b/>
          <w:color w:val="auto"/>
          <w:kern w:val="2"/>
          <w:sz w:val="36"/>
          <w:szCs w:val="36"/>
          <w:highlight w:val="none"/>
          <w:u w:val="none"/>
          <w:lang w:val="en-US" w:eastAsia="zh-CN" w:bidi="ar-SA"/>
        </w:rPr>
      </w:pPr>
      <w:bookmarkStart w:id="98" w:name="_Toc25797"/>
      <w:bookmarkStart w:id="99" w:name="_Toc9921"/>
      <w:r>
        <w:rPr>
          <w:rFonts w:hint="eastAsia" w:ascii="Times New Roman" w:hAnsi="Times New Roman" w:eastAsia="方正小标宋_GBK" w:cs="Times New Roman"/>
          <w:b/>
          <w:color w:val="auto"/>
          <w:kern w:val="2"/>
          <w:sz w:val="36"/>
          <w:szCs w:val="36"/>
          <w:highlight w:val="none"/>
          <w:u w:val="none"/>
          <w:lang w:val="en-US" w:eastAsia="zh-CN" w:bidi="ar-SA"/>
        </w:rPr>
        <w:t>第三章坚持产业兴县，构筑现代化产业体系</w:t>
      </w:r>
      <w:bookmarkEnd w:id="97"/>
      <w:bookmarkEnd w:id="98"/>
      <w:bookmarkEnd w:id="99"/>
    </w:p>
    <w:p w14:paraId="189C6F4A">
      <w:pPr>
        <w:pageBreakBefore w:val="0"/>
        <w:kinsoku/>
        <w:wordWrap/>
        <w:overflowPunct/>
        <w:topLinePunct w:val="0"/>
        <w:autoSpaceDE/>
        <w:bidi w:val="0"/>
        <w:adjustRightInd w:val="0"/>
        <w:snapToGrid w:val="0"/>
        <w:spacing w:line="560" w:lineRule="exact"/>
        <w:ind w:firstLine="640" w:firstLineChars="200"/>
        <w:textAlignment w:val="auto"/>
        <w:rPr>
          <w:rFonts w:hint="default" w:ascii="仿宋_GB2312" w:hAnsi="仿宋_GB2312" w:eastAsia="仿宋_GB2312" w:cs="仿宋_GB2312"/>
          <w:color w:val="auto"/>
          <w:kern w:val="2"/>
          <w:sz w:val="32"/>
          <w:szCs w:val="21"/>
          <w:u w:val="none"/>
          <w:lang w:val="en-US" w:eastAsia="zh-CN" w:bidi="ar-SA"/>
        </w:rPr>
      </w:pPr>
      <w:r>
        <w:rPr>
          <w:rFonts w:hint="default" w:ascii="仿宋_GB2312" w:hAnsi="仿宋_GB2312" w:eastAsia="仿宋_GB2312" w:cs="仿宋_GB2312"/>
          <w:color w:val="auto"/>
          <w:kern w:val="2"/>
          <w:sz w:val="32"/>
          <w:szCs w:val="21"/>
          <w:u w:val="none"/>
          <w:lang w:val="en-US" w:eastAsia="zh-CN" w:bidi="ar-SA"/>
        </w:rPr>
        <w:t>立足自身资源禀赋与产业基础，以“强基础、育动能、谋长远”为主线，深化产业空间布局、推进产业迭代升级、提质增效现代服务、塑造活力创新生态</w:t>
      </w:r>
      <w:r>
        <w:rPr>
          <w:rFonts w:hint="eastAsia" w:ascii="仿宋_GB2312" w:hAnsi="仿宋_GB2312" w:eastAsia="仿宋_GB2312" w:cs="仿宋_GB2312"/>
          <w:color w:val="auto"/>
          <w:kern w:val="2"/>
          <w:sz w:val="32"/>
          <w:szCs w:val="21"/>
          <w:u w:val="none"/>
          <w:lang w:val="en-US" w:eastAsia="zh-CN" w:bidi="ar-SA"/>
        </w:rPr>
        <w:t>、</w:t>
      </w:r>
      <w:r>
        <w:rPr>
          <w:rFonts w:hint="default" w:ascii="仿宋_GB2312" w:hAnsi="仿宋_GB2312" w:eastAsia="仿宋_GB2312" w:cs="仿宋_GB2312"/>
          <w:color w:val="auto"/>
          <w:kern w:val="2"/>
          <w:sz w:val="32"/>
          <w:szCs w:val="21"/>
          <w:u w:val="none"/>
          <w:lang w:val="en-US" w:eastAsia="zh-CN" w:bidi="ar-SA"/>
        </w:rPr>
        <w:t>提升产业支撑能力，构建以科技创新为引领、实体经济为支撑、先进制造业为骨干、现代服务业为依托的现代化产业体系。</w:t>
      </w:r>
    </w:p>
    <w:p w14:paraId="42AB8CBD">
      <w:pPr>
        <w:keepNext/>
        <w:keepLines/>
        <w:pageBreakBefore w:val="0"/>
        <w:widowControl w:val="0"/>
        <w:numPr>
          <w:ilvl w:val="0"/>
          <w:numId w:val="0"/>
        </w:numPr>
        <w:kinsoku/>
        <w:wordWrap/>
        <w:overflowPunct/>
        <w:topLinePunct w:val="0"/>
        <w:autoSpaceDE/>
        <w:autoSpaceDN/>
        <w:bidi w:val="0"/>
        <w:adjustRightInd w:val="0"/>
        <w:snapToGrid w:val="0"/>
        <w:spacing w:before="156" w:beforeLines="50" w:after="156" w:afterLines="50" w:line="560" w:lineRule="exact"/>
        <w:ind w:leftChars="0"/>
        <w:jc w:val="center"/>
        <w:textAlignment w:val="auto"/>
        <w:outlineLvl w:val="2"/>
        <w:rPr>
          <w:rFonts w:hint="eastAsia" w:ascii="Times New Roman" w:hAnsi="Times New Roman" w:eastAsia="黑体" w:cs="Times New Roman"/>
          <w:b/>
          <w:bCs/>
          <w:color w:val="auto"/>
          <w:kern w:val="2"/>
          <w:sz w:val="32"/>
          <w:szCs w:val="32"/>
          <w:highlight w:val="none"/>
          <w:u w:val="none"/>
          <w:lang w:val="en-US" w:eastAsia="zh-CN" w:bidi="ar-SA"/>
        </w:rPr>
      </w:pPr>
      <w:bookmarkStart w:id="100" w:name="_Toc13162"/>
      <w:bookmarkStart w:id="101" w:name="_Toc29001"/>
      <w:bookmarkStart w:id="102" w:name="_Toc679"/>
      <w:r>
        <w:rPr>
          <w:rFonts w:hint="eastAsia" w:ascii="Times New Roman" w:hAnsi="Times New Roman" w:eastAsia="黑体" w:cs="Times New Roman"/>
          <w:b/>
          <w:bCs/>
          <w:color w:val="auto"/>
          <w:kern w:val="2"/>
          <w:sz w:val="32"/>
          <w:szCs w:val="32"/>
          <w:highlight w:val="none"/>
          <w:u w:val="none"/>
          <w:lang w:val="en-US" w:eastAsia="zh-CN" w:bidi="ar-SA"/>
        </w:rPr>
        <w:t>第一节构建“一区两园多集群”产业格局</w:t>
      </w:r>
      <w:bookmarkEnd w:id="100"/>
      <w:bookmarkEnd w:id="101"/>
      <w:bookmarkEnd w:id="102"/>
    </w:p>
    <w:p w14:paraId="2337F198">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outlineLvl w:val="3"/>
        <w:rPr>
          <w:rFonts w:hint="eastAsia" w:ascii="楷体_GB2312" w:hAnsi="楷体_GB2312" w:eastAsia="楷体_GB2312" w:cs="楷体_GB2312"/>
          <w:b/>
          <w:bCs/>
          <w:color w:val="auto"/>
          <w:kern w:val="2"/>
          <w:sz w:val="32"/>
          <w:szCs w:val="32"/>
          <w:u w:val="none"/>
          <w:lang w:val="en-US" w:eastAsia="zh-CN" w:bidi="ar-SA"/>
        </w:rPr>
      </w:pPr>
      <w:r>
        <w:rPr>
          <w:rFonts w:hint="eastAsia" w:ascii="楷体_GB2312" w:hAnsi="楷体_GB2312" w:eastAsia="楷体_GB2312" w:cs="楷体_GB2312"/>
          <w:b/>
          <w:bCs/>
          <w:color w:val="auto"/>
          <w:kern w:val="2"/>
          <w:sz w:val="32"/>
          <w:szCs w:val="32"/>
          <w:u w:val="none"/>
          <w:lang w:val="en-US" w:eastAsia="zh-CN" w:bidi="ar-SA"/>
        </w:rPr>
        <w:t>（一）</w:t>
      </w:r>
      <w:r>
        <w:rPr>
          <w:rFonts w:hint="default" w:ascii="楷体_GB2312" w:hAnsi="楷体_GB2312" w:eastAsia="楷体_GB2312" w:cs="楷体_GB2312"/>
          <w:b/>
          <w:bCs/>
          <w:color w:val="auto"/>
          <w:kern w:val="2"/>
          <w:sz w:val="32"/>
          <w:szCs w:val="32"/>
          <w:u w:val="none"/>
          <w:lang w:val="en-US" w:eastAsia="zh-CN" w:bidi="ar-SA"/>
        </w:rPr>
        <w:t>“一</w:t>
      </w:r>
      <w:r>
        <w:rPr>
          <w:rFonts w:hint="eastAsia" w:ascii="楷体_GB2312" w:hAnsi="楷体_GB2312" w:eastAsia="楷体_GB2312" w:cs="楷体_GB2312"/>
          <w:b/>
          <w:bCs/>
          <w:color w:val="auto"/>
          <w:kern w:val="2"/>
          <w:sz w:val="32"/>
          <w:szCs w:val="32"/>
          <w:u w:val="none"/>
          <w:lang w:val="en-US" w:eastAsia="zh-CN" w:bidi="ar-SA"/>
        </w:rPr>
        <w:t>区</w:t>
      </w:r>
      <w:r>
        <w:rPr>
          <w:rFonts w:hint="default" w:ascii="楷体_GB2312" w:hAnsi="楷体_GB2312" w:eastAsia="楷体_GB2312" w:cs="楷体_GB2312"/>
          <w:b/>
          <w:bCs/>
          <w:color w:val="auto"/>
          <w:kern w:val="2"/>
          <w:sz w:val="32"/>
          <w:szCs w:val="32"/>
          <w:u w:val="none"/>
          <w:lang w:val="en-US" w:eastAsia="zh-CN" w:bidi="ar-SA"/>
        </w:rPr>
        <w:t>”</w:t>
      </w:r>
      <w:r>
        <w:rPr>
          <w:rFonts w:hint="eastAsia" w:ascii="楷体_GB2312" w:hAnsi="楷体_GB2312" w:eastAsia="楷体_GB2312" w:cs="楷体_GB2312"/>
          <w:b/>
          <w:bCs/>
          <w:color w:val="auto"/>
          <w:kern w:val="2"/>
          <w:sz w:val="32"/>
          <w:szCs w:val="32"/>
          <w:u w:val="none"/>
          <w:lang w:val="en-US" w:eastAsia="zh-CN" w:bidi="ar-SA"/>
        </w:rPr>
        <w:t>，打造高能级经济开发区</w:t>
      </w:r>
    </w:p>
    <w:p w14:paraId="2C1BF955">
      <w:pPr>
        <w:pageBreakBefore w:val="0"/>
        <w:kinsoku/>
        <w:wordWrap/>
        <w:overflowPunct/>
        <w:topLinePunct w:val="0"/>
        <w:autoSpaceDE/>
        <w:bidi w:val="0"/>
        <w:adjustRightInd w:val="0"/>
        <w:snapToGrid w:val="0"/>
        <w:spacing w:line="560" w:lineRule="exact"/>
        <w:ind w:firstLine="640" w:firstLineChars="200"/>
        <w:textAlignment w:val="auto"/>
        <w:rPr>
          <w:rFonts w:hint="default" w:ascii="仿宋_GB2312" w:hAnsi="仿宋_GB2312" w:eastAsia="仿宋_GB2312" w:cs="仿宋_GB2312"/>
          <w:color w:val="auto"/>
          <w:kern w:val="2"/>
          <w:sz w:val="32"/>
          <w:szCs w:val="21"/>
          <w:u w:val="none"/>
          <w:lang w:val="en-US" w:eastAsia="zh-CN" w:bidi="ar-SA"/>
        </w:rPr>
      </w:pPr>
      <w:r>
        <w:rPr>
          <w:rFonts w:hint="default" w:ascii="仿宋_GB2312" w:hAnsi="仿宋_GB2312" w:eastAsia="仿宋_GB2312" w:cs="仿宋_GB2312"/>
          <w:color w:val="auto"/>
          <w:kern w:val="2"/>
          <w:sz w:val="32"/>
          <w:szCs w:val="21"/>
          <w:u w:val="none"/>
          <w:lang w:val="en-US" w:eastAsia="zh-CN" w:bidi="ar-SA"/>
        </w:rPr>
        <w:t>立足扶沟县先进制造业开发区作为全县产业发展“主阵地、主战场、主引擎”的核心地位，面对“十五五”新发展阶段，必须坚持规划引领、空间优化与产业集聚并举，高质量落实《扶沟县先进制造业开发区发展规划（2022-2035）》，将开发区建设成为驱动豫东县域经济高质量发展的强大引擎</w:t>
      </w:r>
      <w:r>
        <w:rPr>
          <w:rFonts w:hint="eastAsia" w:ascii="仿宋_GB2312" w:hAnsi="仿宋_GB2312" w:eastAsia="仿宋_GB2312" w:cs="仿宋_GB2312"/>
          <w:color w:val="auto"/>
          <w:kern w:val="2"/>
          <w:sz w:val="32"/>
          <w:szCs w:val="21"/>
          <w:u w:val="none"/>
          <w:lang w:val="en-US" w:eastAsia="zh-CN" w:bidi="ar-SA"/>
        </w:rPr>
        <w:t>，目标2030年开发区产值突破300亿元，成为豫东地区先进制造业示范基地。</w:t>
      </w:r>
    </w:p>
    <w:p w14:paraId="6EB53980">
      <w:pPr>
        <w:keepNext w:val="0"/>
        <w:keepLines w:val="0"/>
        <w:pageBreakBefore w:val="0"/>
        <w:numPr>
          <w:ilvl w:val="0"/>
          <w:numId w:val="0"/>
        </w:numPr>
        <w:kinsoku/>
        <w:wordWrap/>
        <w:overflowPunct/>
        <w:topLinePunct w:val="0"/>
        <w:bidi w:val="0"/>
        <w:snapToGrid/>
        <w:spacing w:line="540" w:lineRule="exact"/>
        <w:ind w:right="0" w:rightChars="0" w:firstLine="643" w:firstLineChars="200"/>
        <w:textAlignment w:val="auto"/>
        <w:rPr>
          <w:rFonts w:hint="default" w:ascii="仿宋_GB2312" w:hAnsi="仿宋_GB2312" w:eastAsia="仿宋_GB2312" w:cs="仿宋_GB2312"/>
          <w:color w:val="auto"/>
          <w:kern w:val="2"/>
          <w:sz w:val="32"/>
          <w:szCs w:val="21"/>
          <w:u w:val="none"/>
          <w:lang w:val="en-US" w:eastAsia="zh-CN" w:bidi="ar-SA"/>
        </w:rPr>
      </w:pPr>
      <w:r>
        <w:rPr>
          <w:rFonts w:hint="default" w:ascii="楷体_GB2312" w:hAnsi="楷体_GB2312" w:eastAsia="楷体_GB2312" w:cs="楷体_GB2312"/>
          <w:b/>
          <w:bCs/>
          <w:color w:val="auto"/>
          <w:kern w:val="2"/>
          <w:sz w:val="32"/>
          <w:szCs w:val="32"/>
          <w:highlight w:val="none"/>
          <w:lang w:val="en-US" w:eastAsia="zh-CN"/>
        </w:rPr>
        <w:t>优化开发区产业布局</w:t>
      </w:r>
      <w:r>
        <w:rPr>
          <w:rFonts w:hint="eastAsia" w:ascii="楷体_GB2312" w:hAnsi="楷体_GB2312" w:eastAsia="楷体_GB2312" w:cs="楷体_GB2312"/>
          <w:b/>
          <w:bCs/>
          <w:color w:val="auto"/>
          <w:kern w:val="2"/>
          <w:sz w:val="32"/>
          <w:szCs w:val="32"/>
          <w:highlight w:val="none"/>
          <w:lang w:val="en-US" w:eastAsia="zh-CN"/>
        </w:rPr>
        <w:t>。</w:t>
      </w:r>
      <w:r>
        <w:rPr>
          <w:rFonts w:hint="default" w:ascii="仿宋_GB2312" w:hAnsi="仿宋_GB2312" w:eastAsia="仿宋_GB2312" w:cs="仿宋_GB2312"/>
          <w:color w:val="auto"/>
          <w:kern w:val="2"/>
          <w:sz w:val="32"/>
          <w:szCs w:val="21"/>
          <w:u w:val="none"/>
          <w:lang w:val="en-US" w:eastAsia="zh-CN" w:bidi="ar-SA"/>
        </w:rPr>
        <w:t>按照开发区发展规划确定“一核两轴六片区”空间结构</w:t>
      </w:r>
      <w:r>
        <w:rPr>
          <w:rFonts w:hint="eastAsia" w:ascii="仿宋_GB2312" w:hAnsi="仿宋_GB2312" w:eastAsia="仿宋_GB2312" w:cs="仿宋_GB2312"/>
          <w:color w:val="auto"/>
          <w:kern w:val="2"/>
          <w:sz w:val="32"/>
          <w:szCs w:val="21"/>
          <w:u w:val="none"/>
          <w:lang w:val="en-US" w:eastAsia="zh-CN" w:bidi="ar-SA"/>
        </w:rPr>
        <w:t>。</w:t>
      </w:r>
      <w:r>
        <w:rPr>
          <w:rFonts w:hint="default" w:ascii="仿宋_GB2312" w:hAnsi="仿宋_GB2312" w:eastAsia="仿宋_GB2312" w:cs="仿宋_GB2312"/>
          <w:color w:val="auto"/>
          <w:kern w:val="2"/>
          <w:sz w:val="32"/>
          <w:szCs w:val="21"/>
          <w:u w:val="none"/>
          <w:lang w:val="en-US" w:eastAsia="zh-CN" w:bidi="ar-SA"/>
        </w:rPr>
        <w:t>根据布局合理、产业关联、相对集聚的原则，</w:t>
      </w:r>
      <w:r>
        <w:rPr>
          <w:rFonts w:hint="eastAsia" w:ascii="仿宋_GB2312" w:hAnsi="仿宋_GB2312" w:eastAsia="仿宋_GB2312" w:cs="仿宋_GB2312"/>
          <w:color w:val="auto"/>
          <w:kern w:val="2"/>
          <w:sz w:val="32"/>
          <w:szCs w:val="21"/>
          <w:u w:val="none"/>
          <w:lang w:val="en-US" w:eastAsia="zh-CN" w:bidi="ar-SA"/>
        </w:rPr>
        <w:t>形成纺织服装产业区、装备制造产业区、节能环保产业区、综合发展产业区、现代物流产业区等分区。</w:t>
      </w:r>
      <w:r>
        <w:rPr>
          <w:rFonts w:hint="default" w:ascii="仿宋_GB2312" w:hAnsi="仿宋_GB2312" w:eastAsia="仿宋_GB2312" w:cs="仿宋_GB2312"/>
          <w:color w:val="auto"/>
          <w:kern w:val="2"/>
          <w:sz w:val="32"/>
          <w:szCs w:val="21"/>
          <w:u w:val="none"/>
          <w:lang w:val="en-US" w:eastAsia="zh-CN" w:bidi="ar-SA"/>
        </w:rPr>
        <w:t>坚持优先保障产业空间，持续深化用地结构调整，重点推进</w:t>
      </w:r>
      <w:r>
        <w:rPr>
          <w:rFonts w:hint="eastAsia" w:ascii="仿宋_GB2312" w:hAnsi="仿宋_GB2312" w:eastAsia="仿宋_GB2312" w:cs="仿宋_GB2312"/>
          <w:color w:val="auto"/>
          <w:kern w:val="2"/>
          <w:sz w:val="32"/>
          <w:szCs w:val="21"/>
          <w:u w:val="none"/>
          <w:lang w:val="en-US" w:eastAsia="zh-CN" w:bidi="ar-SA"/>
        </w:rPr>
        <w:t>盘活</w:t>
      </w:r>
      <w:r>
        <w:rPr>
          <w:rFonts w:hint="default" w:ascii="仿宋_GB2312" w:hAnsi="仿宋_GB2312" w:eastAsia="仿宋_GB2312" w:cs="仿宋_GB2312"/>
          <w:color w:val="auto"/>
          <w:kern w:val="2"/>
          <w:sz w:val="32"/>
          <w:szCs w:val="21"/>
          <w:u w:val="none"/>
          <w:lang w:val="en-US" w:eastAsia="zh-CN" w:bidi="ar-SA"/>
        </w:rPr>
        <w:t>低效用地、零散用地，盘活闲置厂房</w:t>
      </w:r>
      <w:r>
        <w:rPr>
          <w:rFonts w:hint="eastAsia" w:ascii="仿宋_GB2312" w:hAnsi="仿宋_GB2312" w:eastAsia="仿宋_GB2312" w:cs="仿宋_GB2312"/>
          <w:color w:val="auto"/>
          <w:kern w:val="2"/>
          <w:sz w:val="32"/>
          <w:szCs w:val="21"/>
          <w:u w:val="none"/>
          <w:lang w:val="en-US" w:eastAsia="zh-CN" w:bidi="ar-SA"/>
        </w:rPr>
        <w:t>，</w:t>
      </w:r>
      <w:r>
        <w:rPr>
          <w:rFonts w:hint="default" w:ascii="仿宋_GB2312" w:hAnsi="仿宋_GB2312" w:eastAsia="仿宋_GB2312" w:cs="仿宋_GB2312"/>
          <w:color w:val="auto"/>
          <w:kern w:val="2"/>
          <w:sz w:val="32"/>
          <w:szCs w:val="21"/>
          <w:u w:val="none"/>
          <w:lang w:val="en-US" w:eastAsia="zh-CN" w:bidi="ar-SA"/>
        </w:rPr>
        <w:t>为重大产业项目和未来产业预留充足发展空间，力争“十五五”期间</w:t>
      </w:r>
      <w:r>
        <w:rPr>
          <w:rFonts w:hint="eastAsia" w:ascii="仿宋_GB2312" w:hAnsi="仿宋_GB2312" w:eastAsia="仿宋_GB2312" w:cs="仿宋_GB2312"/>
          <w:color w:val="auto"/>
          <w:kern w:val="2"/>
          <w:sz w:val="32"/>
          <w:szCs w:val="21"/>
          <w:u w:val="none"/>
          <w:lang w:val="en-US" w:eastAsia="zh-CN" w:bidi="ar-SA"/>
        </w:rPr>
        <w:t>盘活低效</w:t>
      </w:r>
      <w:r>
        <w:rPr>
          <w:rFonts w:hint="default" w:ascii="仿宋_GB2312" w:hAnsi="仿宋_GB2312" w:eastAsia="仿宋_GB2312" w:cs="仿宋_GB2312"/>
          <w:color w:val="auto"/>
          <w:kern w:val="2"/>
          <w:sz w:val="32"/>
          <w:szCs w:val="21"/>
          <w:u w:val="none"/>
          <w:lang w:val="en-US" w:eastAsia="zh-CN" w:bidi="ar-SA"/>
        </w:rPr>
        <w:t>用地1000亩。</w:t>
      </w:r>
    </w:p>
    <w:p w14:paraId="1A2BDFFD">
      <w:pPr>
        <w:keepNext w:val="0"/>
        <w:keepLines w:val="0"/>
        <w:pageBreakBefore w:val="0"/>
        <w:numPr>
          <w:ilvl w:val="0"/>
          <w:numId w:val="0"/>
        </w:numPr>
        <w:kinsoku/>
        <w:wordWrap/>
        <w:overflowPunct/>
        <w:topLinePunct w:val="0"/>
        <w:bidi w:val="0"/>
        <w:snapToGrid/>
        <w:spacing w:line="540" w:lineRule="exact"/>
        <w:ind w:right="0" w:rightChars="0" w:firstLine="643" w:firstLineChars="200"/>
        <w:textAlignment w:val="auto"/>
        <w:rPr>
          <w:rFonts w:hint="default" w:ascii="仿宋_GB2312" w:hAnsi="仿宋_GB2312" w:eastAsia="仿宋_GB2312" w:cs="仿宋_GB2312"/>
          <w:color w:val="auto"/>
          <w:kern w:val="2"/>
          <w:sz w:val="32"/>
          <w:szCs w:val="21"/>
          <w:u w:val="none"/>
          <w:lang w:val="en-US" w:eastAsia="zh-CN" w:bidi="ar-SA"/>
        </w:rPr>
      </w:pPr>
      <w:r>
        <w:rPr>
          <w:rFonts w:hint="default" w:ascii="楷体_GB2312" w:hAnsi="楷体_GB2312" w:eastAsia="楷体_GB2312" w:cs="楷体_GB2312"/>
          <w:b/>
          <w:bCs/>
          <w:color w:val="auto"/>
          <w:kern w:val="2"/>
          <w:sz w:val="32"/>
          <w:szCs w:val="32"/>
          <w:highlight w:val="none"/>
          <w:lang w:val="en-US" w:eastAsia="zh-CN"/>
        </w:rPr>
        <w:t>科学确定开发区产业发展方向</w:t>
      </w:r>
      <w:r>
        <w:rPr>
          <w:rFonts w:hint="eastAsia" w:ascii="楷体_GB2312" w:hAnsi="楷体_GB2312" w:eastAsia="楷体_GB2312" w:cs="楷体_GB2312"/>
          <w:b/>
          <w:bCs/>
          <w:color w:val="auto"/>
          <w:kern w:val="2"/>
          <w:sz w:val="32"/>
          <w:szCs w:val="32"/>
          <w:highlight w:val="none"/>
          <w:lang w:val="en-US" w:eastAsia="zh-CN"/>
        </w:rPr>
        <w:t>。</w:t>
      </w:r>
      <w:r>
        <w:rPr>
          <w:rFonts w:hint="default" w:ascii="仿宋_GB2312" w:hAnsi="仿宋_GB2312" w:eastAsia="仿宋_GB2312" w:cs="仿宋_GB2312"/>
          <w:b/>
          <w:bCs/>
          <w:color w:val="auto"/>
          <w:kern w:val="2"/>
          <w:sz w:val="32"/>
          <w:szCs w:val="21"/>
          <w:u w:val="none"/>
          <w:lang w:val="en-US" w:eastAsia="zh-CN" w:bidi="ar-SA"/>
        </w:rPr>
        <w:t>构建“3+</w:t>
      </w:r>
      <w:r>
        <w:rPr>
          <w:rFonts w:hint="eastAsia" w:ascii="仿宋_GB2312" w:hAnsi="仿宋_GB2312" w:eastAsia="仿宋_GB2312" w:cs="仿宋_GB2312"/>
          <w:b/>
          <w:bCs/>
          <w:color w:val="auto"/>
          <w:kern w:val="2"/>
          <w:sz w:val="32"/>
          <w:szCs w:val="21"/>
          <w:u w:val="none"/>
          <w:lang w:val="en-US" w:eastAsia="zh-CN" w:bidi="ar-SA"/>
        </w:rPr>
        <w:t>2</w:t>
      </w:r>
      <w:r>
        <w:rPr>
          <w:rFonts w:hint="default" w:ascii="仿宋_GB2312" w:hAnsi="仿宋_GB2312" w:eastAsia="仿宋_GB2312" w:cs="仿宋_GB2312"/>
          <w:b/>
          <w:bCs/>
          <w:color w:val="auto"/>
          <w:kern w:val="2"/>
          <w:sz w:val="32"/>
          <w:szCs w:val="21"/>
          <w:u w:val="none"/>
          <w:lang w:val="en-US" w:eastAsia="zh-CN" w:bidi="ar-SA"/>
        </w:rPr>
        <w:t>”现代化高能级产业体系，</w:t>
      </w:r>
      <w:r>
        <w:rPr>
          <w:rFonts w:hint="default" w:ascii="仿宋_GB2312" w:hAnsi="仿宋_GB2312" w:eastAsia="仿宋_GB2312" w:cs="仿宋_GB2312"/>
          <w:color w:val="auto"/>
          <w:kern w:val="2"/>
          <w:sz w:val="32"/>
          <w:szCs w:val="21"/>
          <w:u w:val="none"/>
          <w:lang w:val="en-US" w:eastAsia="zh-CN" w:bidi="ar-SA"/>
        </w:rPr>
        <w:t>重点打造产业集群发展，使其成为驱动区域制造业升级的主引擎。</w:t>
      </w:r>
      <w:r>
        <w:rPr>
          <w:rFonts w:hint="default" w:ascii="仿宋_GB2312" w:hAnsi="仿宋_GB2312" w:eastAsia="仿宋_GB2312" w:cs="仿宋_GB2312"/>
          <w:b/>
          <w:bCs/>
          <w:color w:val="auto"/>
          <w:kern w:val="2"/>
          <w:sz w:val="32"/>
          <w:szCs w:val="21"/>
          <w:u w:val="none"/>
          <w:lang w:val="en-US" w:eastAsia="zh-CN" w:bidi="ar-SA"/>
        </w:rPr>
        <w:t>提质发展纺织服装、装备制造、节能环保三大产业集群。</w:t>
      </w:r>
      <w:r>
        <w:rPr>
          <w:rFonts w:hint="default" w:ascii="仿宋_GB2312" w:hAnsi="仿宋_GB2312" w:eastAsia="仿宋_GB2312" w:cs="仿宋_GB2312"/>
          <w:color w:val="auto"/>
          <w:kern w:val="2"/>
          <w:sz w:val="32"/>
          <w:szCs w:val="21"/>
          <w:u w:val="none"/>
          <w:lang w:val="en-US" w:eastAsia="zh-CN" w:bidi="ar-SA"/>
        </w:rPr>
        <w:t>纺织服装产业集群，依托中垣环保纺织印染产业园</w:t>
      </w:r>
      <w:r>
        <w:rPr>
          <w:rFonts w:hint="eastAsia" w:ascii="仿宋_GB2312" w:hAnsi="仿宋_GB2312" w:eastAsia="仿宋_GB2312" w:cs="仿宋_GB2312"/>
          <w:color w:val="auto"/>
          <w:kern w:val="2"/>
          <w:sz w:val="32"/>
          <w:szCs w:val="21"/>
          <w:u w:val="none"/>
          <w:lang w:val="en-US" w:eastAsia="zh-CN" w:bidi="ar-SA"/>
        </w:rPr>
        <w:t>、</w:t>
      </w:r>
      <w:r>
        <w:rPr>
          <w:rFonts w:hint="default" w:ascii="仿宋_GB2312" w:hAnsi="仿宋_GB2312" w:eastAsia="仿宋_GB2312" w:cs="仿宋_GB2312"/>
          <w:color w:val="auto"/>
          <w:kern w:val="2"/>
          <w:sz w:val="32"/>
          <w:szCs w:val="21"/>
          <w:u w:val="none"/>
          <w:lang w:val="en-US" w:eastAsia="zh-CN" w:bidi="ar-SA"/>
        </w:rPr>
        <w:t>中增家纺产业园、昌茂纺织、水天服饰等</w:t>
      </w:r>
      <w:r>
        <w:rPr>
          <w:rFonts w:hint="eastAsia" w:ascii="仿宋_GB2312" w:hAnsi="仿宋_GB2312" w:eastAsia="仿宋_GB2312" w:cs="仿宋_GB2312"/>
          <w:color w:val="auto"/>
          <w:kern w:val="2"/>
          <w:sz w:val="32"/>
          <w:szCs w:val="21"/>
          <w:u w:val="none"/>
          <w:lang w:val="en-US" w:eastAsia="zh-CN" w:bidi="ar-SA"/>
        </w:rPr>
        <w:t>为核心</w:t>
      </w:r>
      <w:r>
        <w:rPr>
          <w:rFonts w:hint="default" w:ascii="仿宋_GB2312" w:hAnsi="仿宋_GB2312" w:eastAsia="仿宋_GB2312" w:cs="仿宋_GB2312"/>
          <w:color w:val="auto"/>
          <w:kern w:val="2"/>
          <w:sz w:val="32"/>
          <w:szCs w:val="21"/>
          <w:u w:val="none"/>
          <w:lang w:val="en-US" w:eastAsia="zh-CN" w:bidi="ar-SA"/>
        </w:rPr>
        <w:t>，向高端印染、品牌服装、产业用纺织品等领域拓展，完善“纺纱-织布-染整-成衣”全产业链生态，目标2030年产业带年产服装3000万件、印染面料5亿米，产值突破</w:t>
      </w:r>
      <w:r>
        <w:rPr>
          <w:rFonts w:hint="eastAsia" w:ascii="仿宋_GB2312" w:hAnsi="仿宋_GB2312" w:eastAsia="仿宋_GB2312" w:cs="仿宋_GB2312"/>
          <w:color w:val="auto"/>
          <w:kern w:val="2"/>
          <w:sz w:val="32"/>
          <w:szCs w:val="21"/>
          <w:u w:val="none"/>
          <w:lang w:val="en-US" w:eastAsia="zh-CN" w:bidi="ar-SA"/>
        </w:rPr>
        <w:t>2</w:t>
      </w:r>
      <w:r>
        <w:rPr>
          <w:rFonts w:hint="default" w:ascii="仿宋_GB2312" w:hAnsi="仿宋_GB2312" w:eastAsia="仿宋_GB2312" w:cs="仿宋_GB2312"/>
          <w:color w:val="auto"/>
          <w:kern w:val="2"/>
          <w:sz w:val="32"/>
          <w:szCs w:val="21"/>
          <w:u w:val="none"/>
          <w:lang w:val="en-US" w:eastAsia="zh-CN" w:bidi="ar-SA"/>
        </w:rPr>
        <w:t>00亿元</w:t>
      </w:r>
      <w:r>
        <w:rPr>
          <w:rFonts w:hint="eastAsia" w:ascii="仿宋_GB2312" w:hAnsi="仿宋_GB2312" w:eastAsia="仿宋_GB2312" w:cs="仿宋_GB2312"/>
          <w:color w:val="auto"/>
          <w:kern w:val="2"/>
          <w:sz w:val="32"/>
          <w:szCs w:val="21"/>
          <w:u w:val="none"/>
          <w:lang w:val="en-US" w:eastAsia="zh-CN" w:bidi="ar-SA"/>
        </w:rPr>
        <w:t>。</w:t>
      </w:r>
      <w:r>
        <w:rPr>
          <w:rFonts w:hint="default" w:ascii="仿宋_GB2312" w:hAnsi="仿宋_GB2312" w:eastAsia="仿宋_GB2312" w:cs="仿宋_GB2312"/>
          <w:color w:val="auto"/>
          <w:kern w:val="2"/>
          <w:sz w:val="32"/>
          <w:szCs w:val="21"/>
          <w:u w:val="none"/>
          <w:lang w:val="en-US" w:eastAsia="zh-CN" w:bidi="ar-SA"/>
        </w:rPr>
        <w:t>装备制造产业集群，</w:t>
      </w:r>
      <w:r>
        <w:rPr>
          <w:rFonts w:hint="eastAsia" w:ascii="仿宋_GB2312" w:hAnsi="仿宋_GB2312" w:eastAsia="仿宋_GB2312" w:cs="仿宋_GB2312"/>
          <w:color w:val="auto"/>
          <w:kern w:val="2"/>
          <w:sz w:val="32"/>
          <w:szCs w:val="21"/>
          <w:u w:val="none"/>
          <w:lang w:val="en-US" w:eastAsia="zh-CN" w:bidi="ar-SA"/>
        </w:rPr>
        <w:t>以</w:t>
      </w:r>
      <w:r>
        <w:rPr>
          <w:rFonts w:hint="default" w:ascii="仿宋_GB2312" w:hAnsi="仿宋_GB2312" w:eastAsia="仿宋_GB2312" w:cs="仿宋_GB2312"/>
          <w:color w:val="auto"/>
          <w:kern w:val="2"/>
          <w:sz w:val="32"/>
          <w:szCs w:val="21"/>
          <w:u w:val="none"/>
          <w:lang w:val="en-US" w:eastAsia="zh-CN" w:bidi="ar-SA"/>
        </w:rPr>
        <w:t>中原汽车零部件产业园、绿色铸造产业园、高端装备配套园等</w:t>
      </w:r>
      <w:r>
        <w:rPr>
          <w:rFonts w:hint="eastAsia" w:ascii="仿宋_GB2312" w:hAnsi="仿宋_GB2312" w:eastAsia="仿宋_GB2312" w:cs="仿宋_GB2312"/>
          <w:color w:val="auto"/>
          <w:kern w:val="2"/>
          <w:sz w:val="32"/>
          <w:szCs w:val="21"/>
          <w:u w:val="none"/>
          <w:lang w:val="en-US" w:eastAsia="zh-CN" w:bidi="ar-SA"/>
        </w:rPr>
        <w:t>为</w:t>
      </w:r>
      <w:r>
        <w:rPr>
          <w:rFonts w:hint="default" w:ascii="仿宋_GB2312" w:hAnsi="仿宋_GB2312" w:eastAsia="仿宋_GB2312" w:cs="仿宋_GB2312"/>
          <w:color w:val="auto"/>
          <w:kern w:val="2"/>
          <w:sz w:val="32"/>
          <w:szCs w:val="21"/>
          <w:u w:val="none"/>
          <w:lang w:val="en-US" w:eastAsia="zh-CN" w:bidi="ar-SA"/>
        </w:rPr>
        <w:t>载体，重点发展发动机缸体缸盖、新能源汽车零部件、智能农机装备等产品。推动河南奥兰船舶、世通机械等龙头企业与比亚迪、郑州日产等整车厂商深度合作，建设汽车零部件配套基地；引入3D打印、智能检测等技术，推动传统铸造向智能制造升级，目标2030年产业带产值突破</w:t>
      </w:r>
      <w:r>
        <w:rPr>
          <w:rFonts w:hint="eastAsia" w:ascii="仿宋_GB2312" w:hAnsi="仿宋_GB2312" w:eastAsia="仿宋_GB2312" w:cs="仿宋_GB2312"/>
          <w:color w:val="auto"/>
          <w:kern w:val="2"/>
          <w:sz w:val="32"/>
          <w:szCs w:val="21"/>
          <w:u w:val="none"/>
          <w:lang w:val="en-US" w:eastAsia="zh-CN" w:bidi="ar-SA"/>
        </w:rPr>
        <w:t>20</w:t>
      </w:r>
      <w:r>
        <w:rPr>
          <w:rFonts w:hint="default" w:ascii="仿宋_GB2312" w:hAnsi="仿宋_GB2312" w:eastAsia="仿宋_GB2312" w:cs="仿宋_GB2312"/>
          <w:color w:val="auto"/>
          <w:kern w:val="2"/>
          <w:sz w:val="32"/>
          <w:szCs w:val="21"/>
          <w:u w:val="none"/>
          <w:lang w:val="en-US" w:eastAsia="zh-CN" w:bidi="ar-SA"/>
        </w:rPr>
        <w:t>0亿元，成为豫东重要的汽车零部件产业集群。节能环保产业集群，依托云都铜业、海创环境能源等企业，重点发展资源循环利用、节能环保装备制造等领域，谋划再生金属加工、</w:t>
      </w:r>
      <w:r>
        <w:rPr>
          <w:rFonts w:hint="eastAsia" w:ascii="仿宋_GB2312" w:hAnsi="仿宋_GB2312" w:eastAsia="仿宋_GB2312" w:cs="仿宋_GB2312"/>
          <w:color w:val="auto"/>
          <w:kern w:val="2"/>
          <w:sz w:val="32"/>
          <w:szCs w:val="21"/>
          <w:u w:val="none"/>
          <w:lang w:val="en-US" w:eastAsia="zh-CN" w:bidi="ar-SA"/>
        </w:rPr>
        <w:t>垃圾焚烧发电</w:t>
      </w:r>
      <w:r>
        <w:rPr>
          <w:rFonts w:hint="default" w:ascii="仿宋_GB2312" w:hAnsi="仿宋_GB2312" w:eastAsia="仿宋_GB2312" w:cs="仿宋_GB2312"/>
          <w:color w:val="auto"/>
          <w:kern w:val="2"/>
          <w:sz w:val="32"/>
          <w:szCs w:val="21"/>
          <w:u w:val="none"/>
          <w:lang w:val="en-US" w:eastAsia="zh-CN" w:bidi="ar-SA"/>
        </w:rPr>
        <w:t>等项目，构建绿色低碳产业生态。</w:t>
      </w:r>
      <w:r>
        <w:rPr>
          <w:rFonts w:hint="eastAsia" w:ascii="仿宋_GB2312" w:hAnsi="仿宋_GB2312" w:eastAsia="仿宋_GB2312" w:cs="仿宋_GB2312"/>
          <w:b/>
          <w:bCs/>
          <w:color w:val="auto"/>
          <w:kern w:val="2"/>
          <w:sz w:val="32"/>
          <w:szCs w:val="21"/>
          <w:u w:val="none"/>
          <w:lang w:val="en-US" w:eastAsia="zh-CN" w:bidi="ar-SA"/>
        </w:rPr>
        <w:t>培育发展新兴</w:t>
      </w:r>
      <w:r>
        <w:rPr>
          <w:rFonts w:hint="default" w:ascii="仿宋_GB2312" w:hAnsi="仿宋_GB2312" w:eastAsia="仿宋_GB2312" w:cs="仿宋_GB2312"/>
          <w:b/>
          <w:bCs/>
          <w:color w:val="auto"/>
          <w:kern w:val="2"/>
          <w:sz w:val="32"/>
          <w:szCs w:val="21"/>
          <w:u w:val="none"/>
          <w:lang w:val="en-US" w:eastAsia="zh-CN" w:bidi="ar-SA"/>
        </w:rPr>
        <w:t>产业，以</w:t>
      </w:r>
      <w:r>
        <w:rPr>
          <w:rFonts w:hint="eastAsia" w:ascii="仿宋_GB2312" w:hAnsi="仿宋_GB2312" w:eastAsia="仿宋_GB2312" w:cs="仿宋_GB2312"/>
          <w:b/>
          <w:bCs/>
          <w:color w:val="auto"/>
          <w:kern w:val="2"/>
          <w:sz w:val="32"/>
          <w:szCs w:val="21"/>
          <w:u w:val="none"/>
          <w:lang w:val="en-US" w:eastAsia="zh-CN" w:bidi="ar-SA"/>
        </w:rPr>
        <w:t>新材料</w:t>
      </w:r>
      <w:r>
        <w:rPr>
          <w:rFonts w:hint="default" w:ascii="仿宋_GB2312" w:hAnsi="仿宋_GB2312" w:eastAsia="仿宋_GB2312" w:cs="仿宋_GB2312"/>
          <w:b/>
          <w:bCs/>
          <w:color w:val="auto"/>
          <w:kern w:val="2"/>
          <w:sz w:val="32"/>
          <w:szCs w:val="21"/>
          <w:u w:val="none"/>
          <w:lang w:val="en-US" w:eastAsia="zh-CN" w:bidi="ar-SA"/>
        </w:rPr>
        <w:t>、新能源</w:t>
      </w:r>
      <w:r>
        <w:rPr>
          <w:rFonts w:hint="eastAsia" w:ascii="仿宋_GB2312" w:hAnsi="仿宋_GB2312" w:eastAsia="仿宋_GB2312" w:cs="仿宋_GB2312"/>
          <w:b/>
          <w:bCs/>
          <w:color w:val="auto"/>
          <w:kern w:val="2"/>
          <w:sz w:val="32"/>
          <w:szCs w:val="21"/>
          <w:u w:val="none"/>
          <w:lang w:val="en-US" w:eastAsia="zh-CN" w:bidi="ar-SA"/>
        </w:rPr>
        <w:t>研发</w:t>
      </w:r>
      <w:r>
        <w:rPr>
          <w:rFonts w:hint="default" w:ascii="仿宋_GB2312" w:hAnsi="仿宋_GB2312" w:eastAsia="仿宋_GB2312" w:cs="仿宋_GB2312"/>
          <w:b/>
          <w:bCs/>
          <w:color w:val="auto"/>
          <w:kern w:val="2"/>
          <w:sz w:val="32"/>
          <w:szCs w:val="21"/>
          <w:u w:val="none"/>
          <w:lang w:val="en-US" w:eastAsia="zh-CN" w:bidi="ar-SA"/>
        </w:rPr>
        <w:t>应用为核心方向，</w:t>
      </w:r>
      <w:r>
        <w:rPr>
          <w:rFonts w:hint="default" w:ascii="仿宋_GB2312" w:hAnsi="仿宋_GB2312" w:eastAsia="仿宋_GB2312" w:cs="仿宋_GB2312"/>
          <w:color w:val="auto"/>
          <w:kern w:val="2"/>
          <w:sz w:val="32"/>
          <w:szCs w:val="21"/>
          <w:u w:val="none"/>
          <w:lang w:val="en-US" w:eastAsia="zh-CN" w:bidi="ar-SA"/>
        </w:rPr>
        <w:t>布局高端金属材料、纺织新材料、环保新材料</w:t>
      </w:r>
      <w:r>
        <w:rPr>
          <w:rFonts w:hint="eastAsia" w:ascii="仿宋_GB2312" w:hAnsi="仿宋_GB2312" w:eastAsia="仿宋_GB2312" w:cs="仿宋_GB2312"/>
          <w:color w:val="auto"/>
          <w:kern w:val="2"/>
          <w:sz w:val="32"/>
          <w:szCs w:val="21"/>
          <w:u w:val="none"/>
          <w:lang w:val="en-US" w:eastAsia="zh-CN" w:bidi="ar-SA"/>
        </w:rPr>
        <w:t>、新型储能、新能源汽车配套等</w:t>
      </w:r>
      <w:r>
        <w:rPr>
          <w:rFonts w:hint="default" w:ascii="仿宋_GB2312" w:hAnsi="仿宋_GB2312" w:eastAsia="仿宋_GB2312" w:cs="仿宋_GB2312"/>
          <w:color w:val="auto"/>
          <w:kern w:val="2"/>
          <w:sz w:val="32"/>
          <w:szCs w:val="21"/>
          <w:u w:val="none"/>
          <w:lang w:val="en-US" w:eastAsia="zh-CN" w:bidi="ar-SA"/>
        </w:rPr>
        <w:t>前沿技术领域，对接招引碳纤维复合材料</w:t>
      </w:r>
      <w:r>
        <w:rPr>
          <w:rFonts w:hint="eastAsia" w:ascii="仿宋_GB2312" w:hAnsi="仿宋_GB2312" w:eastAsia="仿宋_GB2312" w:cs="仿宋_GB2312"/>
          <w:color w:val="auto"/>
          <w:kern w:val="2"/>
          <w:sz w:val="32"/>
          <w:szCs w:val="21"/>
          <w:u w:val="none"/>
          <w:lang w:val="en-US" w:eastAsia="zh-CN" w:bidi="ar-SA"/>
        </w:rPr>
        <w:t>、</w:t>
      </w:r>
      <w:r>
        <w:rPr>
          <w:rFonts w:hint="default" w:ascii="仿宋_GB2312" w:hAnsi="仿宋_GB2312" w:eastAsia="仿宋_GB2312" w:cs="仿宋_GB2312"/>
          <w:color w:val="auto"/>
          <w:kern w:val="2"/>
          <w:sz w:val="32"/>
          <w:szCs w:val="21"/>
          <w:u w:val="none"/>
          <w:lang w:val="en-US" w:eastAsia="zh-CN" w:bidi="ar-SA"/>
        </w:rPr>
        <w:t>全固态电池等高质量项目，为产业迭代升级奠定基础，实现科技创新、产业发展和人才驱动同频共振。</w:t>
      </w:r>
    </w:p>
    <w:p w14:paraId="03FF426B">
      <w:pPr>
        <w:keepNext w:val="0"/>
        <w:keepLines w:val="0"/>
        <w:pageBreakBefore w:val="0"/>
        <w:numPr>
          <w:ilvl w:val="0"/>
          <w:numId w:val="0"/>
        </w:numPr>
        <w:kinsoku/>
        <w:wordWrap/>
        <w:overflowPunct/>
        <w:topLinePunct w:val="0"/>
        <w:bidi w:val="0"/>
        <w:snapToGrid/>
        <w:spacing w:line="540" w:lineRule="exact"/>
        <w:ind w:right="0" w:rightChars="0" w:firstLine="643" w:firstLineChars="200"/>
        <w:textAlignment w:val="auto"/>
        <w:rPr>
          <w:rFonts w:hint="default" w:ascii="仿宋_GB2312" w:hAnsi="仿宋_GB2312" w:eastAsia="仿宋_GB2312" w:cs="仿宋_GB2312"/>
          <w:color w:val="auto"/>
          <w:kern w:val="2"/>
          <w:sz w:val="32"/>
          <w:szCs w:val="21"/>
          <w:u w:val="none"/>
          <w:lang w:val="en-US" w:eastAsia="zh-CN" w:bidi="ar-SA"/>
        </w:rPr>
      </w:pPr>
      <w:r>
        <w:rPr>
          <w:rFonts w:hint="default" w:ascii="楷体_GB2312" w:hAnsi="楷体_GB2312" w:eastAsia="楷体_GB2312" w:cs="楷体_GB2312"/>
          <w:b/>
          <w:bCs/>
          <w:color w:val="auto"/>
          <w:kern w:val="2"/>
          <w:sz w:val="32"/>
          <w:szCs w:val="32"/>
          <w:highlight w:val="none"/>
          <w:lang w:val="en-US" w:eastAsia="zh-CN"/>
        </w:rPr>
        <w:t>聚焦产业生态建设</w:t>
      </w:r>
      <w:r>
        <w:rPr>
          <w:rFonts w:hint="eastAsia" w:ascii="楷体_GB2312" w:hAnsi="楷体_GB2312" w:eastAsia="楷体_GB2312" w:cs="楷体_GB2312"/>
          <w:b/>
          <w:bCs/>
          <w:color w:val="auto"/>
          <w:kern w:val="2"/>
          <w:sz w:val="32"/>
          <w:szCs w:val="32"/>
          <w:highlight w:val="none"/>
          <w:lang w:val="en-US" w:eastAsia="zh-CN"/>
        </w:rPr>
        <w:t>。</w:t>
      </w:r>
      <w:r>
        <w:rPr>
          <w:rFonts w:hint="default" w:ascii="仿宋_GB2312" w:hAnsi="仿宋_GB2312" w:eastAsia="仿宋_GB2312" w:cs="仿宋_GB2312"/>
          <w:color w:val="auto"/>
          <w:kern w:val="2"/>
          <w:sz w:val="32"/>
          <w:szCs w:val="21"/>
          <w:u w:val="none"/>
          <w:lang w:val="en-US" w:eastAsia="zh-CN" w:bidi="ar-SA"/>
        </w:rPr>
        <w:t>针对主导产业“产业链条不完善”“创新能力不足”等突出问题，结合企业在技术研发、市场拓展、产能扩张、人才引育等不同阶段的需求，有针对性地制定出台产业配套精准服务，打造适宜产业集聚与升级的优质生态。建设一流小微企业园集群。以“运营专业化、服务数字化、产业生态化”为目标，高标准建设和管理小微企业园，重点打造纺织服装、装备制造等特色园中园，引导产业链上下游企业入园集聚发展。完善公共服务配套，优化“县级-片区级-社区级”三级公共服务设施体系，新建九年一贯制学校、社区卫生服务中心、文化活动中心等配套设施，实现生产生活服务全覆盖。</w:t>
      </w:r>
    </w:p>
    <w:p w14:paraId="7C775145">
      <w:pPr>
        <w:pageBreakBefore w:val="0"/>
        <w:kinsoku/>
        <w:wordWrap/>
        <w:overflowPunct/>
        <w:topLinePunct w:val="0"/>
        <w:autoSpaceDE/>
        <w:bidi w:val="0"/>
        <w:adjustRightInd w:val="0"/>
        <w:snapToGrid w:val="0"/>
        <w:spacing w:line="560" w:lineRule="exact"/>
        <w:ind w:firstLine="643" w:firstLineChars="200"/>
        <w:textAlignment w:val="auto"/>
        <w:rPr>
          <w:rFonts w:hint="default" w:ascii="仿宋_GB2312" w:hAnsi="仿宋_GB2312" w:eastAsia="仿宋_GB2312" w:cs="仿宋_GB2312"/>
          <w:color w:val="auto"/>
          <w:kern w:val="2"/>
          <w:sz w:val="32"/>
          <w:szCs w:val="21"/>
          <w:highlight w:val="none"/>
          <w:u w:val="none"/>
          <w:lang w:val="en-US" w:eastAsia="zh-CN" w:bidi="ar-SA"/>
        </w:rPr>
      </w:pPr>
      <w:r>
        <w:rPr>
          <w:rFonts w:hint="default" w:ascii="楷体_GB2312" w:hAnsi="楷体_GB2312" w:eastAsia="楷体_GB2312" w:cs="楷体_GB2312"/>
          <w:b/>
          <w:bCs/>
          <w:color w:val="auto"/>
          <w:kern w:val="2"/>
          <w:sz w:val="32"/>
          <w:szCs w:val="32"/>
          <w:highlight w:val="none"/>
          <w:lang w:val="en-US" w:eastAsia="zh-CN"/>
        </w:rPr>
        <w:t>强化发展要素保障</w:t>
      </w:r>
      <w:r>
        <w:rPr>
          <w:rFonts w:hint="eastAsia" w:ascii="楷体_GB2312" w:hAnsi="楷体_GB2312" w:eastAsia="楷体_GB2312" w:cs="楷体_GB2312"/>
          <w:b/>
          <w:bCs/>
          <w:color w:val="auto"/>
          <w:kern w:val="2"/>
          <w:sz w:val="32"/>
          <w:szCs w:val="32"/>
          <w:highlight w:val="none"/>
          <w:lang w:val="en-US" w:eastAsia="zh-CN"/>
        </w:rPr>
        <w:t>。</w:t>
      </w:r>
      <w:r>
        <w:rPr>
          <w:rFonts w:hint="default" w:ascii="仿宋_GB2312" w:hAnsi="仿宋_GB2312" w:eastAsia="仿宋_GB2312" w:cs="仿宋_GB2312"/>
          <w:color w:val="auto"/>
          <w:kern w:val="2"/>
          <w:sz w:val="32"/>
          <w:szCs w:val="21"/>
          <w:u w:val="none"/>
          <w:lang w:val="en-US" w:eastAsia="zh-CN" w:bidi="ar-SA"/>
        </w:rPr>
        <w:t>创新土地供给模式。全面推行“标准地+弹性年限”供地模式，在出让环节明确固定资产投资强度、亩均税收、能耗标准等控制性指标，提高土地集约利用效率，实现“拿地即开工”。建立土地利用效率综合评价机制，倒逼企业集约节约用地。</w:t>
      </w:r>
      <w:r>
        <w:rPr>
          <w:rFonts w:hint="default" w:ascii="仿宋_GB2312" w:hAnsi="仿宋_GB2312" w:eastAsia="仿宋_GB2312" w:cs="仿宋_GB2312"/>
          <w:color w:val="auto"/>
          <w:kern w:val="2"/>
          <w:sz w:val="32"/>
          <w:szCs w:val="21"/>
          <w:highlight w:val="none"/>
          <w:u w:val="none"/>
          <w:lang w:val="en-US" w:eastAsia="zh-CN" w:bidi="ar-SA"/>
        </w:rPr>
        <w:t>。</w:t>
      </w:r>
    </w:p>
    <w:p w14:paraId="0E83B3B7">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outlineLvl w:val="3"/>
        <w:rPr>
          <w:rFonts w:hint="default" w:ascii="楷体_GB2312" w:hAnsi="楷体_GB2312" w:eastAsia="楷体_GB2312" w:cs="楷体_GB2312"/>
          <w:b/>
          <w:bCs/>
          <w:color w:val="auto"/>
          <w:kern w:val="2"/>
          <w:sz w:val="32"/>
          <w:szCs w:val="32"/>
          <w:u w:val="none"/>
          <w:lang w:val="en-US" w:eastAsia="zh-CN" w:bidi="ar-SA"/>
        </w:rPr>
      </w:pPr>
      <w:r>
        <w:rPr>
          <w:rFonts w:hint="eastAsia" w:ascii="楷体_GB2312" w:hAnsi="楷体_GB2312" w:eastAsia="楷体_GB2312" w:cs="楷体_GB2312"/>
          <w:b/>
          <w:bCs/>
          <w:color w:val="auto"/>
          <w:kern w:val="2"/>
          <w:sz w:val="32"/>
          <w:szCs w:val="32"/>
          <w:u w:val="none"/>
          <w:lang w:val="en-US" w:eastAsia="zh-CN" w:bidi="ar-SA"/>
        </w:rPr>
        <w:t>（二）</w:t>
      </w:r>
      <w:r>
        <w:rPr>
          <w:rFonts w:hint="default" w:ascii="楷体_GB2312" w:hAnsi="楷体_GB2312" w:eastAsia="楷体_GB2312" w:cs="楷体_GB2312"/>
          <w:b/>
          <w:bCs/>
          <w:color w:val="auto"/>
          <w:kern w:val="2"/>
          <w:sz w:val="32"/>
          <w:szCs w:val="32"/>
          <w:u w:val="none"/>
          <w:lang w:val="en-US" w:eastAsia="zh-CN" w:bidi="ar-SA"/>
        </w:rPr>
        <w:t>“</w:t>
      </w:r>
      <w:r>
        <w:rPr>
          <w:rFonts w:hint="eastAsia" w:ascii="楷体_GB2312" w:hAnsi="楷体_GB2312" w:eastAsia="楷体_GB2312" w:cs="楷体_GB2312"/>
          <w:b/>
          <w:bCs/>
          <w:color w:val="auto"/>
          <w:kern w:val="2"/>
          <w:sz w:val="32"/>
          <w:szCs w:val="32"/>
          <w:u w:val="none"/>
          <w:lang w:val="en-US" w:eastAsia="zh-CN" w:bidi="ar-SA"/>
        </w:rPr>
        <w:t>两</w:t>
      </w:r>
      <w:r>
        <w:rPr>
          <w:rFonts w:hint="default" w:ascii="楷体_GB2312" w:hAnsi="楷体_GB2312" w:eastAsia="楷体_GB2312" w:cs="楷体_GB2312"/>
          <w:b/>
          <w:bCs/>
          <w:color w:val="auto"/>
          <w:kern w:val="2"/>
          <w:sz w:val="32"/>
          <w:szCs w:val="32"/>
          <w:u w:val="none"/>
          <w:lang w:val="en-US" w:eastAsia="zh-CN" w:bidi="ar-SA"/>
        </w:rPr>
        <w:t>园”</w:t>
      </w:r>
      <w:r>
        <w:rPr>
          <w:rFonts w:hint="eastAsia" w:ascii="楷体_GB2312" w:hAnsi="楷体_GB2312" w:eastAsia="楷体_GB2312" w:cs="楷体_GB2312"/>
          <w:b/>
          <w:bCs/>
          <w:color w:val="auto"/>
          <w:kern w:val="2"/>
          <w:sz w:val="32"/>
          <w:szCs w:val="32"/>
          <w:u w:val="none"/>
          <w:lang w:val="en-US" w:eastAsia="zh-CN" w:bidi="ar-SA"/>
        </w:rPr>
        <w:t>，布局现代食品产业园、数字经济产业园</w:t>
      </w:r>
    </w:p>
    <w:p w14:paraId="4C11EF9B">
      <w:pPr>
        <w:pageBreakBefore w:val="0"/>
        <w:kinsoku/>
        <w:wordWrap/>
        <w:overflowPunct/>
        <w:topLinePunct w:val="0"/>
        <w:autoSpaceDE/>
        <w:bidi w:val="0"/>
        <w:adjustRightInd w:val="0"/>
        <w:snapToGrid w:val="0"/>
        <w:spacing w:line="560" w:lineRule="exact"/>
        <w:ind w:firstLine="643" w:firstLineChars="200"/>
        <w:textAlignment w:val="auto"/>
        <w:rPr>
          <w:rFonts w:hint="eastAsia" w:ascii="仿宋_GB2312" w:hAnsi="仿宋_GB2312" w:eastAsia="仿宋_GB2312" w:cs="仿宋_GB2312"/>
          <w:color w:val="auto"/>
          <w:kern w:val="2"/>
          <w:sz w:val="32"/>
          <w:szCs w:val="21"/>
          <w:u w:val="none"/>
          <w:lang w:val="en-US" w:eastAsia="zh-CN" w:bidi="ar-SA"/>
        </w:rPr>
      </w:pPr>
      <w:r>
        <w:rPr>
          <w:rFonts w:hint="eastAsia" w:ascii="仿宋_GB2312" w:hAnsi="仿宋_GB2312" w:eastAsia="仿宋_GB2312" w:cs="仿宋_GB2312"/>
          <w:b/>
          <w:bCs/>
          <w:color w:val="auto"/>
          <w:kern w:val="2"/>
          <w:sz w:val="32"/>
          <w:szCs w:val="21"/>
          <w:highlight w:val="none"/>
          <w:u w:val="none"/>
          <w:lang w:val="en-US" w:eastAsia="zh-CN" w:bidi="ar-SA"/>
        </w:rPr>
        <w:t>现代食品</w:t>
      </w:r>
      <w:r>
        <w:rPr>
          <w:rFonts w:hint="default" w:ascii="仿宋_GB2312" w:hAnsi="仿宋_GB2312" w:eastAsia="仿宋_GB2312" w:cs="仿宋_GB2312"/>
          <w:b/>
          <w:bCs/>
          <w:color w:val="auto"/>
          <w:kern w:val="2"/>
          <w:sz w:val="32"/>
          <w:szCs w:val="21"/>
          <w:highlight w:val="none"/>
          <w:u w:val="none"/>
          <w:lang w:val="en-US" w:eastAsia="zh-CN" w:bidi="ar-SA"/>
        </w:rPr>
        <w:t>产业园</w:t>
      </w:r>
      <w:r>
        <w:rPr>
          <w:rFonts w:hint="eastAsia" w:ascii="仿宋_GB2312" w:hAnsi="仿宋_GB2312" w:eastAsia="仿宋_GB2312" w:cs="仿宋_GB2312"/>
          <w:b/>
          <w:bCs/>
          <w:color w:val="auto"/>
          <w:kern w:val="2"/>
          <w:sz w:val="32"/>
          <w:szCs w:val="21"/>
          <w:highlight w:val="none"/>
          <w:u w:val="none"/>
          <w:lang w:val="en-US" w:eastAsia="zh-CN" w:bidi="ar-SA"/>
        </w:rPr>
        <w:t>。</w:t>
      </w:r>
      <w:r>
        <w:rPr>
          <w:rFonts w:hint="eastAsia" w:ascii="仿宋_GB2312" w:hAnsi="仿宋_GB2312" w:eastAsia="仿宋_GB2312" w:cs="仿宋_GB2312"/>
          <w:color w:val="auto"/>
          <w:kern w:val="2"/>
          <w:sz w:val="32"/>
          <w:szCs w:val="21"/>
          <w:highlight w:val="none"/>
          <w:u w:val="none"/>
          <w:lang w:val="en-US" w:eastAsia="zh-CN" w:bidi="ar-SA"/>
        </w:rPr>
        <w:t>依托蔬菜精深加工产业园、扶沟中食央厨产业园等基础，</w:t>
      </w:r>
      <w:r>
        <w:rPr>
          <w:rFonts w:hint="default" w:ascii="仿宋_GB2312" w:hAnsi="仿宋_GB2312" w:eastAsia="仿宋_GB2312" w:cs="仿宋_GB2312"/>
          <w:color w:val="auto"/>
          <w:kern w:val="2"/>
          <w:sz w:val="32"/>
          <w:szCs w:val="21"/>
          <w:highlight w:val="none"/>
          <w:u w:val="none"/>
          <w:lang w:val="en-US" w:eastAsia="zh-CN" w:bidi="ar-SA"/>
        </w:rPr>
        <w:t>规划</w:t>
      </w:r>
      <w:r>
        <w:rPr>
          <w:rFonts w:hint="eastAsia" w:ascii="仿宋_GB2312" w:hAnsi="仿宋_GB2312" w:eastAsia="仿宋_GB2312" w:cs="仿宋_GB2312"/>
          <w:color w:val="auto"/>
          <w:kern w:val="2"/>
          <w:sz w:val="32"/>
          <w:szCs w:val="21"/>
          <w:highlight w:val="none"/>
          <w:u w:val="none"/>
          <w:lang w:val="en-US" w:eastAsia="zh-CN" w:bidi="ar-SA"/>
        </w:rPr>
        <w:t>建设</w:t>
      </w:r>
      <w:r>
        <w:rPr>
          <w:rFonts w:hint="default" w:ascii="仿宋_GB2312" w:hAnsi="仿宋_GB2312" w:eastAsia="仿宋_GB2312" w:cs="仿宋_GB2312"/>
          <w:color w:val="auto"/>
          <w:kern w:val="2"/>
          <w:sz w:val="32"/>
          <w:szCs w:val="21"/>
          <w:highlight w:val="none"/>
          <w:u w:val="none"/>
          <w:lang w:val="en-US" w:eastAsia="zh-CN" w:bidi="ar-SA"/>
        </w:rPr>
        <w:t>现代食品产业园</w:t>
      </w:r>
      <w:r>
        <w:rPr>
          <w:rFonts w:hint="eastAsia" w:ascii="仿宋_GB2312" w:hAnsi="仿宋_GB2312" w:eastAsia="仿宋_GB2312" w:cs="仿宋_GB2312"/>
          <w:color w:val="auto"/>
          <w:kern w:val="2"/>
          <w:sz w:val="32"/>
          <w:szCs w:val="21"/>
          <w:highlight w:val="none"/>
          <w:u w:val="none"/>
          <w:lang w:val="en-US" w:eastAsia="zh-CN" w:bidi="ar-SA"/>
        </w:rPr>
        <w:t>。</w:t>
      </w:r>
      <w:r>
        <w:rPr>
          <w:rFonts w:hint="default" w:ascii="仿宋_GB2312" w:hAnsi="仿宋_GB2312" w:eastAsia="仿宋_GB2312" w:cs="仿宋_GB2312"/>
          <w:color w:val="auto"/>
          <w:kern w:val="2"/>
          <w:sz w:val="32"/>
          <w:szCs w:val="21"/>
          <w:highlight w:val="none"/>
          <w:u w:val="none"/>
          <w:lang w:val="en-US" w:eastAsia="zh-CN" w:bidi="ar-SA"/>
        </w:rPr>
        <w:t>聚焦“蔬菜精深加工+乳制品加工</w:t>
      </w:r>
      <w:r>
        <w:rPr>
          <w:rFonts w:hint="eastAsia" w:ascii="仿宋_GB2312" w:hAnsi="仿宋_GB2312" w:eastAsia="仿宋_GB2312" w:cs="仿宋_GB2312"/>
          <w:color w:val="auto"/>
          <w:kern w:val="2"/>
          <w:sz w:val="32"/>
          <w:szCs w:val="21"/>
          <w:highlight w:val="none"/>
          <w:u w:val="none"/>
          <w:lang w:val="en-US" w:eastAsia="zh-CN" w:bidi="ar-SA"/>
        </w:rPr>
        <w:t>+健康食品+食品服务业</w:t>
      </w:r>
      <w:r>
        <w:rPr>
          <w:rFonts w:hint="default" w:ascii="仿宋_GB2312" w:hAnsi="仿宋_GB2312" w:eastAsia="仿宋_GB2312" w:cs="仿宋_GB2312"/>
          <w:color w:val="auto"/>
          <w:kern w:val="2"/>
          <w:sz w:val="32"/>
          <w:szCs w:val="21"/>
          <w:highlight w:val="none"/>
          <w:u w:val="none"/>
          <w:lang w:val="en-US" w:eastAsia="zh-CN" w:bidi="ar-SA"/>
        </w:rPr>
        <w:t>”方向</w:t>
      </w:r>
      <w:r>
        <w:rPr>
          <w:rFonts w:hint="eastAsia" w:ascii="仿宋_GB2312" w:hAnsi="仿宋_GB2312" w:eastAsia="仿宋_GB2312" w:cs="仿宋_GB2312"/>
          <w:color w:val="auto"/>
          <w:kern w:val="2"/>
          <w:sz w:val="32"/>
          <w:szCs w:val="21"/>
          <w:highlight w:val="none"/>
          <w:u w:val="none"/>
          <w:lang w:val="en-US" w:eastAsia="zh-CN" w:bidi="ar-SA"/>
        </w:rPr>
        <w:t>，园区规划</w:t>
      </w:r>
      <w:r>
        <w:rPr>
          <w:rFonts w:hint="default" w:ascii="仿宋_GB2312" w:hAnsi="仿宋_GB2312" w:eastAsia="仿宋_GB2312" w:cs="仿宋_GB2312"/>
          <w:color w:val="auto"/>
          <w:kern w:val="2"/>
          <w:sz w:val="32"/>
          <w:szCs w:val="21"/>
          <w:highlight w:val="none"/>
          <w:u w:val="none"/>
          <w:lang w:val="en-US" w:eastAsia="zh-CN" w:bidi="ar-SA"/>
        </w:rPr>
        <w:t>建设蔬菜预制菜</w:t>
      </w:r>
      <w:r>
        <w:rPr>
          <w:rFonts w:hint="eastAsia" w:ascii="仿宋_GB2312" w:hAnsi="仿宋_GB2312" w:eastAsia="仿宋_GB2312" w:cs="仿宋_GB2312"/>
          <w:color w:val="auto"/>
          <w:kern w:val="2"/>
          <w:sz w:val="32"/>
          <w:szCs w:val="21"/>
          <w:highlight w:val="none"/>
          <w:u w:val="none"/>
          <w:lang w:val="en-US" w:eastAsia="zh-CN" w:bidi="ar-SA"/>
        </w:rPr>
        <w:t>基地</w:t>
      </w:r>
      <w:r>
        <w:rPr>
          <w:rFonts w:hint="default" w:ascii="仿宋_GB2312" w:hAnsi="仿宋_GB2312" w:eastAsia="仿宋_GB2312" w:cs="仿宋_GB2312"/>
          <w:color w:val="auto"/>
          <w:kern w:val="2"/>
          <w:sz w:val="32"/>
          <w:szCs w:val="21"/>
          <w:highlight w:val="none"/>
          <w:u w:val="none"/>
          <w:lang w:val="en-US" w:eastAsia="zh-CN" w:bidi="ar-SA"/>
        </w:rPr>
        <w:t>（净菜加工、脱水蔬菜、速冻蔬菜）</w:t>
      </w:r>
      <w:r>
        <w:rPr>
          <w:rFonts w:hint="eastAsia" w:ascii="仿宋_GB2312" w:hAnsi="仿宋_GB2312" w:eastAsia="仿宋_GB2312" w:cs="仿宋_GB2312"/>
          <w:color w:val="auto"/>
          <w:kern w:val="2"/>
          <w:sz w:val="32"/>
          <w:szCs w:val="21"/>
          <w:highlight w:val="none"/>
          <w:u w:val="none"/>
          <w:lang w:val="en-US" w:eastAsia="zh-CN" w:bidi="ar-SA"/>
        </w:rPr>
        <w:t>；依托</w:t>
      </w:r>
      <w:r>
        <w:rPr>
          <w:rFonts w:hint="default" w:ascii="仿宋_GB2312" w:hAnsi="仿宋_GB2312" w:eastAsia="仿宋_GB2312" w:cs="仿宋_GB2312"/>
          <w:color w:val="auto"/>
          <w:kern w:val="2"/>
          <w:sz w:val="32"/>
          <w:szCs w:val="21"/>
          <w:highlight w:val="none"/>
          <w:u w:val="none"/>
          <w:lang w:val="en-US" w:eastAsia="zh-CN" w:bidi="ar-SA"/>
        </w:rPr>
        <w:t>宝乐奶业，发展高端乳制品加工</w:t>
      </w:r>
      <w:r>
        <w:rPr>
          <w:rFonts w:hint="eastAsia" w:ascii="仿宋_GB2312" w:hAnsi="仿宋_GB2312" w:eastAsia="仿宋_GB2312" w:cs="仿宋_GB2312"/>
          <w:color w:val="auto"/>
          <w:kern w:val="2"/>
          <w:sz w:val="32"/>
          <w:szCs w:val="21"/>
          <w:highlight w:val="none"/>
          <w:u w:val="none"/>
          <w:lang w:val="en-US" w:eastAsia="zh-CN" w:bidi="ar-SA"/>
        </w:rPr>
        <w:t>、现代观光牧场产学研基地；依托在建新联合食品产业园及其他食品龙头企业，大力发展功能食品、健康食品等战略性新兴产业、高附加值食品；园区配套建设冷链物流、智慧仓储，拓展与食品产业相关的生产性服务业态。</w:t>
      </w:r>
      <w:r>
        <w:rPr>
          <w:rFonts w:hint="default" w:ascii="仿宋_GB2312" w:hAnsi="仿宋_GB2312" w:eastAsia="仿宋_GB2312" w:cs="仿宋_GB2312"/>
          <w:color w:val="auto"/>
          <w:kern w:val="2"/>
          <w:sz w:val="32"/>
          <w:szCs w:val="21"/>
          <w:highlight w:val="none"/>
          <w:u w:val="none"/>
          <w:lang w:val="en-US" w:eastAsia="zh-CN" w:bidi="ar-SA"/>
        </w:rPr>
        <w:t>打造“从田间到餐桌</w:t>
      </w:r>
      <w:r>
        <w:rPr>
          <w:rFonts w:hint="eastAsia" w:ascii="仿宋_GB2312" w:hAnsi="仿宋_GB2312" w:eastAsia="仿宋_GB2312" w:cs="仿宋_GB2312"/>
          <w:color w:val="auto"/>
          <w:kern w:val="2"/>
          <w:sz w:val="32"/>
          <w:szCs w:val="21"/>
          <w:highlight w:val="none"/>
          <w:u w:val="none"/>
          <w:lang w:val="en-US" w:eastAsia="zh-CN" w:bidi="ar-SA"/>
        </w:rPr>
        <w:t>、从生产到消费</w:t>
      </w:r>
      <w:r>
        <w:rPr>
          <w:rFonts w:hint="default" w:ascii="仿宋_GB2312" w:hAnsi="仿宋_GB2312" w:eastAsia="仿宋_GB2312" w:cs="仿宋_GB2312"/>
          <w:color w:val="auto"/>
          <w:kern w:val="2"/>
          <w:sz w:val="32"/>
          <w:szCs w:val="21"/>
          <w:highlight w:val="none"/>
          <w:u w:val="none"/>
          <w:lang w:val="en-US" w:eastAsia="zh-CN" w:bidi="ar-SA"/>
        </w:rPr>
        <w:t>”的</w:t>
      </w:r>
      <w:r>
        <w:rPr>
          <w:rFonts w:hint="eastAsia" w:ascii="仿宋_GB2312" w:hAnsi="仿宋_GB2312" w:eastAsia="仿宋_GB2312" w:cs="仿宋_GB2312"/>
          <w:color w:val="auto"/>
          <w:kern w:val="2"/>
          <w:sz w:val="32"/>
          <w:szCs w:val="21"/>
          <w:highlight w:val="none"/>
          <w:u w:val="none"/>
          <w:lang w:val="en-US" w:eastAsia="zh-CN" w:bidi="ar-SA"/>
        </w:rPr>
        <w:t>全产业</w:t>
      </w:r>
      <w:r>
        <w:rPr>
          <w:rFonts w:hint="default" w:ascii="仿宋_GB2312" w:hAnsi="仿宋_GB2312" w:eastAsia="仿宋_GB2312" w:cs="仿宋_GB2312"/>
          <w:color w:val="auto"/>
          <w:kern w:val="2"/>
          <w:sz w:val="32"/>
          <w:szCs w:val="21"/>
          <w:highlight w:val="none"/>
          <w:u w:val="none"/>
          <w:lang w:val="en-US" w:eastAsia="zh-CN" w:bidi="ar-SA"/>
        </w:rPr>
        <w:t>食品产业</w:t>
      </w:r>
      <w:r>
        <w:rPr>
          <w:rFonts w:hint="eastAsia" w:ascii="仿宋_GB2312" w:hAnsi="仿宋_GB2312" w:eastAsia="仿宋_GB2312" w:cs="仿宋_GB2312"/>
          <w:color w:val="auto"/>
          <w:kern w:val="2"/>
          <w:sz w:val="32"/>
          <w:szCs w:val="21"/>
          <w:highlight w:val="none"/>
          <w:u w:val="none"/>
          <w:lang w:val="en-US" w:eastAsia="zh-CN" w:bidi="ar-SA"/>
        </w:rPr>
        <w:t>链条</w:t>
      </w:r>
      <w:r>
        <w:rPr>
          <w:rFonts w:hint="default" w:ascii="仿宋_GB2312" w:hAnsi="仿宋_GB2312" w:eastAsia="仿宋_GB2312" w:cs="仿宋_GB2312"/>
          <w:color w:val="auto"/>
          <w:kern w:val="2"/>
          <w:sz w:val="32"/>
          <w:szCs w:val="21"/>
          <w:highlight w:val="none"/>
          <w:u w:val="none"/>
          <w:lang w:val="en-US" w:eastAsia="zh-CN" w:bidi="ar-SA"/>
        </w:rPr>
        <w:t>，目标2030年园区产值突破80亿元，带动5万农户增收</w:t>
      </w:r>
      <w:r>
        <w:rPr>
          <w:rFonts w:hint="eastAsia" w:ascii="仿宋_GB2312" w:hAnsi="仿宋_GB2312" w:eastAsia="仿宋_GB2312" w:cs="仿宋_GB2312"/>
          <w:color w:val="auto"/>
          <w:kern w:val="2"/>
          <w:sz w:val="32"/>
          <w:szCs w:val="21"/>
          <w:u w:val="none"/>
          <w:lang w:val="en-US" w:eastAsia="zh-CN" w:bidi="ar-SA"/>
        </w:rPr>
        <w:t>。</w:t>
      </w:r>
    </w:p>
    <w:p w14:paraId="6BA47E92">
      <w:pPr>
        <w:pageBreakBefore w:val="0"/>
        <w:kinsoku/>
        <w:wordWrap/>
        <w:overflowPunct/>
        <w:topLinePunct w:val="0"/>
        <w:autoSpaceDE/>
        <w:bidi w:val="0"/>
        <w:adjustRightInd w:val="0"/>
        <w:snapToGrid w:val="0"/>
        <w:spacing w:line="560" w:lineRule="exact"/>
        <w:ind w:firstLine="643" w:firstLineChars="200"/>
        <w:textAlignment w:val="auto"/>
        <w:rPr>
          <w:rFonts w:hint="default" w:ascii="仿宋_GB2312" w:hAnsi="仿宋_GB2312" w:eastAsia="仿宋_GB2312" w:cs="仿宋_GB2312"/>
          <w:color w:val="auto"/>
          <w:kern w:val="2"/>
          <w:sz w:val="32"/>
          <w:szCs w:val="21"/>
          <w:u w:val="none"/>
          <w:lang w:val="en-US" w:eastAsia="zh-CN" w:bidi="ar-SA"/>
        </w:rPr>
      </w:pPr>
      <w:r>
        <w:rPr>
          <w:rFonts w:hint="default" w:ascii="仿宋_GB2312" w:hAnsi="仿宋_GB2312" w:eastAsia="仿宋_GB2312" w:cs="仿宋_GB2312"/>
          <w:b/>
          <w:bCs/>
          <w:color w:val="auto"/>
          <w:kern w:val="2"/>
          <w:sz w:val="32"/>
          <w:szCs w:val="21"/>
          <w:u w:val="none"/>
          <w:lang w:val="en-US" w:eastAsia="zh-CN" w:bidi="ar-SA"/>
        </w:rPr>
        <w:t>数字经济产业园</w:t>
      </w:r>
      <w:r>
        <w:rPr>
          <w:rFonts w:hint="eastAsia" w:ascii="仿宋_GB2312" w:hAnsi="仿宋_GB2312" w:eastAsia="仿宋_GB2312" w:cs="仿宋_GB2312"/>
          <w:b/>
          <w:bCs/>
          <w:color w:val="auto"/>
          <w:kern w:val="2"/>
          <w:sz w:val="32"/>
          <w:szCs w:val="21"/>
          <w:u w:val="none"/>
          <w:lang w:val="en-US" w:eastAsia="zh-CN" w:bidi="ar-SA"/>
        </w:rPr>
        <w:t>。</w:t>
      </w:r>
      <w:r>
        <w:rPr>
          <w:rFonts w:hint="default" w:ascii="仿宋_GB2312" w:hAnsi="仿宋_GB2312" w:eastAsia="仿宋_GB2312" w:cs="仿宋_GB2312"/>
          <w:color w:val="auto"/>
          <w:kern w:val="2"/>
          <w:sz w:val="32"/>
          <w:szCs w:val="21"/>
          <w:u w:val="none"/>
          <w:lang w:val="en-US" w:eastAsia="zh-CN" w:bidi="ar-SA"/>
        </w:rPr>
        <w:t>在城南新区布局规划数字经济产业园，建设工业互联网平台、电商直播基地、大数据中心三大功能区。开发“扶沟蔬菜”数字交易平台，实现产销数据实时对接；培育直播电商主体，打造“网红直播+蔬菜带货”模式，</w:t>
      </w:r>
      <w:r>
        <w:rPr>
          <w:rFonts w:hint="eastAsia" w:ascii="仿宋_GB2312" w:hAnsi="仿宋_GB2312" w:eastAsia="仿宋_GB2312" w:cs="仿宋_GB2312"/>
          <w:color w:val="auto"/>
          <w:kern w:val="2"/>
          <w:sz w:val="32"/>
          <w:szCs w:val="21"/>
          <w:u w:val="none"/>
          <w:lang w:val="en-US" w:eastAsia="zh-CN" w:bidi="ar-SA"/>
        </w:rPr>
        <w:t>打造AI直播、短视频带货功能区，</w:t>
      </w:r>
      <w:r>
        <w:rPr>
          <w:rFonts w:hint="default" w:ascii="仿宋_GB2312" w:hAnsi="仿宋_GB2312" w:eastAsia="仿宋_GB2312" w:cs="仿宋_GB2312"/>
          <w:color w:val="auto"/>
          <w:kern w:val="2"/>
          <w:sz w:val="32"/>
          <w:szCs w:val="21"/>
          <w:u w:val="none"/>
          <w:lang w:val="en-US" w:eastAsia="zh-CN" w:bidi="ar-SA"/>
        </w:rPr>
        <w:t>推动农产品上行；</w:t>
      </w:r>
      <w:r>
        <w:rPr>
          <w:rFonts w:hint="eastAsia" w:ascii="仿宋_GB2312" w:hAnsi="仿宋_GB2312" w:eastAsia="仿宋_GB2312" w:cs="仿宋_GB2312"/>
          <w:color w:val="auto"/>
          <w:kern w:val="2"/>
          <w:sz w:val="32"/>
          <w:szCs w:val="21"/>
          <w:u w:val="none"/>
          <w:lang w:val="en-US" w:eastAsia="zh-CN" w:bidi="ar-SA"/>
        </w:rPr>
        <w:t>加快推进数字化转型促进中心建设，</w:t>
      </w:r>
      <w:r>
        <w:rPr>
          <w:rFonts w:hint="default" w:ascii="仿宋_GB2312" w:hAnsi="仿宋_GB2312" w:eastAsia="仿宋_GB2312" w:cs="仿宋_GB2312"/>
          <w:color w:val="auto"/>
          <w:kern w:val="2"/>
          <w:sz w:val="32"/>
          <w:szCs w:val="21"/>
          <w:u w:val="none"/>
          <w:lang w:val="en-US" w:eastAsia="zh-CN" w:bidi="ar-SA"/>
        </w:rPr>
        <w:t>为装备制造、纺织服装</w:t>
      </w:r>
      <w:r>
        <w:rPr>
          <w:rFonts w:hint="eastAsia" w:ascii="仿宋_GB2312" w:hAnsi="仿宋_GB2312" w:eastAsia="仿宋_GB2312" w:cs="仿宋_GB2312"/>
          <w:color w:val="auto"/>
          <w:kern w:val="2"/>
          <w:sz w:val="32"/>
          <w:szCs w:val="21"/>
          <w:u w:val="none"/>
          <w:lang w:val="en-US" w:eastAsia="zh-CN" w:bidi="ar-SA"/>
        </w:rPr>
        <w:t>等</w:t>
      </w:r>
      <w:r>
        <w:rPr>
          <w:rFonts w:hint="default" w:ascii="仿宋_GB2312" w:hAnsi="仿宋_GB2312" w:eastAsia="仿宋_GB2312" w:cs="仿宋_GB2312"/>
          <w:color w:val="auto"/>
          <w:kern w:val="2"/>
          <w:sz w:val="32"/>
          <w:szCs w:val="21"/>
          <w:u w:val="none"/>
          <w:lang w:val="en-US" w:eastAsia="zh-CN" w:bidi="ar-SA"/>
        </w:rPr>
        <w:t>企业提供数字化改造服务，</w:t>
      </w:r>
      <w:r>
        <w:rPr>
          <w:rFonts w:hint="eastAsia" w:ascii="仿宋_GB2312" w:hAnsi="仿宋_GB2312" w:eastAsia="仿宋_GB2312" w:cs="仿宋_GB2312"/>
          <w:color w:val="auto"/>
          <w:kern w:val="2"/>
          <w:sz w:val="32"/>
          <w:szCs w:val="21"/>
          <w:u w:val="none"/>
          <w:lang w:val="en-US" w:eastAsia="zh-CN" w:bidi="ar-SA"/>
        </w:rPr>
        <w:t>目标</w:t>
      </w:r>
      <w:r>
        <w:rPr>
          <w:rFonts w:hint="default" w:ascii="仿宋_GB2312" w:hAnsi="仿宋_GB2312" w:eastAsia="仿宋_GB2312" w:cs="仿宋_GB2312"/>
          <w:color w:val="auto"/>
          <w:kern w:val="2"/>
          <w:sz w:val="32"/>
          <w:szCs w:val="21"/>
          <w:u w:val="none"/>
          <w:lang w:val="en-US" w:eastAsia="zh-CN" w:bidi="ar-SA"/>
        </w:rPr>
        <w:t>2030年园区入驻数字企业50家以上，带动县域数字经济核心产业增加值占GDP比重突破8%。</w:t>
      </w:r>
    </w:p>
    <w:p w14:paraId="5F7F21C5">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outlineLvl w:val="3"/>
        <w:rPr>
          <w:rFonts w:hint="eastAsia" w:ascii="楷体_GB2312" w:hAnsi="楷体_GB2312" w:eastAsia="楷体_GB2312" w:cs="楷体_GB2312"/>
          <w:b/>
          <w:bCs/>
          <w:color w:val="auto"/>
          <w:kern w:val="2"/>
          <w:sz w:val="32"/>
          <w:szCs w:val="32"/>
          <w:u w:val="none"/>
          <w:lang w:val="en-US" w:eastAsia="zh-CN" w:bidi="ar-SA"/>
        </w:rPr>
      </w:pPr>
      <w:r>
        <w:rPr>
          <w:rFonts w:hint="eastAsia" w:ascii="楷体_GB2312" w:hAnsi="楷体_GB2312" w:eastAsia="楷体_GB2312" w:cs="楷体_GB2312"/>
          <w:b/>
          <w:bCs/>
          <w:color w:val="auto"/>
          <w:kern w:val="2"/>
          <w:sz w:val="32"/>
          <w:szCs w:val="32"/>
          <w:u w:val="none"/>
          <w:lang w:val="en-US" w:eastAsia="zh-CN" w:bidi="ar-SA"/>
        </w:rPr>
        <w:t>（三）</w:t>
      </w:r>
      <w:r>
        <w:rPr>
          <w:rFonts w:hint="default" w:ascii="楷体_GB2312" w:hAnsi="楷体_GB2312" w:eastAsia="楷体_GB2312" w:cs="楷体_GB2312"/>
          <w:b/>
          <w:bCs/>
          <w:color w:val="auto"/>
          <w:kern w:val="2"/>
          <w:sz w:val="32"/>
          <w:szCs w:val="32"/>
          <w:u w:val="none"/>
          <w:lang w:val="en-US" w:eastAsia="zh-CN" w:bidi="ar-SA"/>
        </w:rPr>
        <w:t>“多集群”</w:t>
      </w:r>
      <w:r>
        <w:rPr>
          <w:rFonts w:hint="eastAsia" w:ascii="楷体_GB2312" w:hAnsi="楷体_GB2312" w:eastAsia="楷体_GB2312" w:cs="楷体_GB2312"/>
          <w:b/>
          <w:bCs/>
          <w:color w:val="auto"/>
          <w:kern w:val="2"/>
          <w:sz w:val="32"/>
          <w:szCs w:val="32"/>
          <w:u w:val="none"/>
          <w:lang w:val="en-US" w:eastAsia="zh-CN" w:bidi="ar-SA"/>
        </w:rPr>
        <w:t>，深化特色产业集群</w:t>
      </w:r>
    </w:p>
    <w:p w14:paraId="077719EB">
      <w:pPr>
        <w:pageBreakBefore w:val="0"/>
        <w:kinsoku/>
        <w:wordWrap/>
        <w:overflowPunct/>
        <w:topLinePunct w:val="0"/>
        <w:autoSpaceDE/>
        <w:bidi w:val="0"/>
        <w:adjustRightInd w:val="0"/>
        <w:snapToGrid w:val="0"/>
        <w:spacing w:line="560" w:lineRule="exact"/>
        <w:ind w:firstLine="640" w:firstLineChars="200"/>
        <w:textAlignment w:val="auto"/>
        <w:rPr>
          <w:rFonts w:hint="default" w:ascii="仿宋_GB2312" w:hAnsi="仿宋_GB2312" w:eastAsia="仿宋_GB2312" w:cs="仿宋_GB2312"/>
          <w:color w:val="auto"/>
          <w:kern w:val="2"/>
          <w:sz w:val="32"/>
          <w:szCs w:val="21"/>
          <w:u w:val="none"/>
          <w:lang w:val="en-US" w:eastAsia="zh-CN" w:bidi="ar-SA"/>
        </w:rPr>
      </w:pPr>
      <w:r>
        <w:rPr>
          <w:rFonts w:hint="default" w:ascii="仿宋_GB2312" w:hAnsi="仿宋_GB2312" w:eastAsia="仿宋_GB2312" w:cs="仿宋_GB2312"/>
          <w:color w:val="auto"/>
          <w:kern w:val="2"/>
          <w:sz w:val="32"/>
          <w:szCs w:val="21"/>
          <w:u w:val="none"/>
          <w:lang w:val="en-US" w:eastAsia="zh-CN" w:bidi="ar-SA"/>
        </w:rPr>
        <w:t>在乡镇布局特色产业集群，如吕潭乡西兰花加工集群、崔桥镇粮食加工集群、白潭镇商贸物流集群等，</w:t>
      </w:r>
      <w:r>
        <w:rPr>
          <w:rFonts w:hint="eastAsia" w:ascii="仿宋_GB2312" w:hAnsi="仿宋_GB2312" w:eastAsia="仿宋_GB2312" w:cs="仿宋_GB2312"/>
          <w:color w:val="auto"/>
          <w:kern w:val="2"/>
          <w:sz w:val="32"/>
          <w:szCs w:val="21"/>
          <w:u w:val="none"/>
          <w:lang w:val="en-US" w:eastAsia="zh-CN" w:bidi="ar-SA"/>
        </w:rPr>
        <w:t>持续深化</w:t>
      </w:r>
      <w:r>
        <w:rPr>
          <w:rFonts w:hint="default" w:ascii="仿宋_GB2312" w:hAnsi="仿宋_GB2312" w:eastAsia="仿宋_GB2312" w:cs="仿宋_GB2312"/>
          <w:color w:val="auto"/>
          <w:kern w:val="2"/>
          <w:sz w:val="32"/>
          <w:szCs w:val="21"/>
          <w:u w:val="none"/>
          <w:lang w:val="en-US" w:eastAsia="zh-CN" w:bidi="ar-SA"/>
        </w:rPr>
        <w:t>“一乡一业”“一村一品”的发展格局，推动产业全域协同发展。</w:t>
      </w:r>
    </w:p>
    <w:p w14:paraId="4BC5F1CA">
      <w:pPr>
        <w:pageBreakBefore w:val="0"/>
        <w:kinsoku/>
        <w:wordWrap/>
        <w:overflowPunct/>
        <w:topLinePunct w:val="0"/>
        <w:autoSpaceDE/>
        <w:bidi w:val="0"/>
        <w:adjustRightInd w:val="0"/>
        <w:snapToGrid w:val="0"/>
        <w:spacing w:line="560" w:lineRule="exact"/>
        <w:ind w:firstLine="640" w:firstLineChars="200"/>
        <w:textAlignment w:val="auto"/>
        <w:rPr>
          <w:rFonts w:hint="default" w:ascii="仿宋_GB2312" w:hAnsi="仿宋_GB2312" w:eastAsia="仿宋_GB2312" w:cs="仿宋_GB2312"/>
          <w:color w:val="auto"/>
          <w:kern w:val="2"/>
          <w:sz w:val="32"/>
          <w:szCs w:val="21"/>
          <w:u w:val="none"/>
          <w:lang w:val="en-US" w:eastAsia="zh-CN" w:bidi="ar-SA"/>
        </w:rPr>
      </w:pPr>
      <w:r>
        <w:rPr>
          <w:rFonts w:hint="eastAsia" w:ascii="仿宋_GB2312" w:hAnsi="仿宋_GB2312" w:eastAsia="仿宋_GB2312" w:cs="仿宋_GB2312"/>
          <w:color w:val="auto"/>
          <w:kern w:val="2"/>
          <w:sz w:val="32"/>
          <w:szCs w:val="21"/>
          <w:u w:val="none"/>
          <w:lang w:val="en-US" w:eastAsia="zh-CN" w:bidi="ar-SA"/>
        </w:rPr>
        <w:t>每个集群建设1个产业服务中心，提供技术指导、市场信息、物流配套等服务；完善基础设施，充分利用小型污水处理设施、仓储设施，提升集群发展基础；推动集群与开发区协同，形成“开发区研发制造+乡镇配套”的分工体系。</w:t>
      </w:r>
    </w:p>
    <w:p w14:paraId="70FA9F52">
      <w:pPr>
        <w:keepNext/>
        <w:keepLines/>
        <w:pageBreakBefore w:val="0"/>
        <w:widowControl w:val="0"/>
        <w:numPr>
          <w:ilvl w:val="0"/>
          <w:numId w:val="0"/>
        </w:numPr>
        <w:kinsoku/>
        <w:wordWrap/>
        <w:overflowPunct/>
        <w:topLinePunct w:val="0"/>
        <w:autoSpaceDE/>
        <w:autoSpaceDN/>
        <w:bidi w:val="0"/>
        <w:adjustRightInd w:val="0"/>
        <w:snapToGrid w:val="0"/>
        <w:spacing w:before="156" w:beforeLines="50" w:after="156" w:afterLines="50" w:line="560" w:lineRule="exact"/>
        <w:ind w:leftChars="0"/>
        <w:jc w:val="center"/>
        <w:textAlignment w:val="auto"/>
        <w:outlineLvl w:val="2"/>
        <w:rPr>
          <w:rFonts w:hint="eastAsia" w:ascii="Times New Roman" w:hAnsi="Times New Roman" w:eastAsia="黑体" w:cs="Times New Roman"/>
          <w:b/>
          <w:bCs/>
          <w:color w:val="auto"/>
          <w:kern w:val="2"/>
          <w:sz w:val="32"/>
          <w:szCs w:val="32"/>
          <w:highlight w:val="none"/>
          <w:u w:val="none"/>
          <w:lang w:val="en-US" w:eastAsia="zh-CN" w:bidi="ar-SA"/>
        </w:rPr>
      </w:pPr>
      <w:bookmarkStart w:id="103" w:name="_Toc18999"/>
      <w:bookmarkStart w:id="104" w:name="_Toc6743"/>
      <w:bookmarkStart w:id="105" w:name="_Toc29946"/>
      <w:r>
        <w:rPr>
          <w:rFonts w:hint="eastAsia" w:ascii="Times New Roman" w:hAnsi="Times New Roman" w:eastAsia="黑体" w:cs="Times New Roman"/>
          <w:b/>
          <w:bCs/>
          <w:color w:val="auto"/>
          <w:kern w:val="2"/>
          <w:sz w:val="32"/>
          <w:szCs w:val="32"/>
          <w:highlight w:val="none"/>
          <w:u w:val="none"/>
          <w:lang w:val="en-US" w:eastAsia="zh-CN" w:bidi="ar-SA"/>
        </w:rPr>
        <w:t>第二节构建“3+4+N”产业体系</w:t>
      </w:r>
      <w:bookmarkEnd w:id="103"/>
      <w:bookmarkEnd w:id="104"/>
      <w:bookmarkEnd w:id="105"/>
    </w:p>
    <w:p w14:paraId="233B1350">
      <w:pPr>
        <w:keepNext w:val="0"/>
        <w:keepLines w:val="0"/>
        <w:pageBreakBefore w:val="0"/>
        <w:widowControl w:val="0"/>
        <w:kinsoku/>
        <w:wordWrap/>
        <w:overflowPunct/>
        <w:topLinePunct w:val="0"/>
        <w:autoSpaceDE/>
        <w:autoSpaceDN/>
        <w:bidi w:val="0"/>
        <w:adjustRightInd w:val="0"/>
        <w:snapToGrid w:val="0"/>
        <w:spacing w:after="721" w:afterLines="200" w:line="560" w:lineRule="exact"/>
        <w:ind w:firstLine="640" w:firstLineChars="200"/>
        <w:textAlignment w:val="auto"/>
        <w:rPr>
          <w:rFonts w:hint="eastAsia" w:ascii="仿宋_GB2312" w:hAnsi="仿宋_GB2312" w:eastAsia="仿宋_GB2312" w:cs="仿宋_GB2312"/>
          <w:color w:val="auto"/>
          <w:kern w:val="2"/>
          <w:sz w:val="32"/>
          <w:szCs w:val="21"/>
          <w:u w:val="none"/>
          <w:lang w:val="en-US" w:eastAsia="zh-CN" w:bidi="ar-SA"/>
        </w:rPr>
      </w:pPr>
      <w:r>
        <w:rPr>
          <w:rFonts w:hint="default" w:ascii="仿宋_GB2312" w:hAnsi="仿宋_GB2312" w:eastAsia="仿宋_GB2312" w:cs="仿宋_GB2312"/>
          <w:color w:val="auto"/>
          <w:kern w:val="2"/>
          <w:sz w:val="32"/>
          <w:szCs w:val="21"/>
          <w:u w:val="none"/>
          <w:lang w:val="en-US" w:eastAsia="zh-CN" w:bidi="ar-SA"/>
        </w:rPr>
        <w:t>立足区域资源禀赋、产业基础、未来发展潜力，科学构建“</w:t>
      </w:r>
      <w:r>
        <w:rPr>
          <w:rFonts w:hint="eastAsia" w:ascii="仿宋_GB2312" w:hAnsi="仿宋_GB2312" w:eastAsia="仿宋_GB2312" w:cs="仿宋_GB2312"/>
          <w:color w:val="auto"/>
          <w:kern w:val="2"/>
          <w:sz w:val="32"/>
          <w:szCs w:val="21"/>
          <w:u w:val="none"/>
          <w:lang w:val="en-US" w:eastAsia="zh-CN" w:bidi="ar-SA"/>
        </w:rPr>
        <w:t>3</w:t>
      </w:r>
      <w:r>
        <w:rPr>
          <w:rFonts w:hint="default" w:ascii="仿宋_GB2312" w:hAnsi="仿宋_GB2312" w:eastAsia="仿宋_GB2312" w:cs="仿宋_GB2312"/>
          <w:color w:val="auto"/>
          <w:kern w:val="2"/>
          <w:sz w:val="32"/>
          <w:szCs w:val="21"/>
          <w:u w:val="none"/>
          <w:lang w:val="en-US" w:eastAsia="zh-CN" w:bidi="ar-SA"/>
        </w:rPr>
        <w:t>+</w:t>
      </w:r>
      <w:r>
        <w:rPr>
          <w:rFonts w:hint="eastAsia" w:ascii="仿宋_GB2312" w:hAnsi="仿宋_GB2312" w:eastAsia="仿宋_GB2312" w:cs="仿宋_GB2312"/>
          <w:color w:val="auto"/>
          <w:kern w:val="2"/>
          <w:sz w:val="32"/>
          <w:szCs w:val="21"/>
          <w:u w:val="none"/>
          <w:lang w:val="en-US" w:eastAsia="zh-CN" w:bidi="ar-SA"/>
        </w:rPr>
        <w:t>4</w:t>
      </w:r>
      <w:r>
        <w:rPr>
          <w:rFonts w:hint="default" w:ascii="仿宋_GB2312" w:hAnsi="仿宋_GB2312" w:eastAsia="仿宋_GB2312" w:cs="仿宋_GB2312"/>
          <w:color w:val="auto"/>
          <w:kern w:val="2"/>
          <w:sz w:val="32"/>
          <w:szCs w:val="21"/>
          <w:u w:val="none"/>
          <w:lang w:val="en-US" w:eastAsia="zh-CN" w:bidi="ar-SA"/>
        </w:rPr>
        <w:t>+</w:t>
      </w:r>
      <w:r>
        <w:rPr>
          <w:rFonts w:hint="eastAsia" w:ascii="仿宋_GB2312" w:hAnsi="仿宋_GB2312" w:eastAsia="仿宋_GB2312" w:cs="仿宋_GB2312"/>
          <w:color w:val="auto"/>
          <w:kern w:val="2"/>
          <w:sz w:val="32"/>
          <w:szCs w:val="21"/>
          <w:u w:val="none"/>
          <w:lang w:val="en-US" w:eastAsia="zh-CN" w:bidi="ar-SA"/>
        </w:rPr>
        <w:t>N</w:t>
      </w:r>
      <w:r>
        <w:rPr>
          <w:rFonts w:hint="default" w:ascii="仿宋_GB2312" w:hAnsi="仿宋_GB2312" w:eastAsia="仿宋_GB2312" w:cs="仿宋_GB2312"/>
          <w:color w:val="auto"/>
          <w:kern w:val="2"/>
          <w:sz w:val="32"/>
          <w:szCs w:val="21"/>
          <w:u w:val="none"/>
          <w:lang w:val="en-US" w:eastAsia="zh-CN" w:bidi="ar-SA"/>
        </w:rPr>
        <w:t>”产业体系，即“稳固主导、壮大新兴、布局未来”的产业发展思路，突出产业体系的层次感、关联性与前瞻性，形成层次分明、协同联动、富有竞争力的现代化产业发展局面</w:t>
      </w:r>
      <w:r>
        <w:rPr>
          <w:rFonts w:hint="eastAsia" w:ascii="仿宋_GB2312" w:hAnsi="仿宋_GB2312" w:eastAsia="仿宋_GB2312" w:cs="仿宋_GB2312"/>
          <w:color w:val="auto"/>
          <w:kern w:val="2"/>
          <w:sz w:val="32"/>
          <w:szCs w:val="21"/>
          <w:u w:val="none"/>
          <w:lang w:val="en-US" w:eastAsia="zh-CN" w:bidi="ar-SA"/>
        </w:rPr>
        <w:t>。</w:t>
      </w:r>
    </w:p>
    <w:p w14:paraId="29DB55F2">
      <w:pPr>
        <w:keepNext w:val="0"/>
        <w:keepLines w:val="0"/>
        <w:pageBreakBefore w:val="0"/>
        <w:widowControl w:val="0"/>
        <w:kinsoku/>
        <w:wordWrap/>
        <w:overflowPunct/>
        <w:topLinePunct w:val="0"/>
        <w:autoSpaceDE/>
        <w:autoSpaceDN/>
        <w:bidi w:val="0"/>
        <w:adjustRightInd w:val="0"/>
        <w:snapToGrid w:val="0"/>
        <w:spacing w:after="721" w:afterLines="200" w:line="560" w:lineRule="exact"/>
        <w:ind w:firstLine="640" w:firstLineChars="200"/>
        <w:textAlignment w:val="auto"/>
        <w:rPr>
          <w:rFonts w:hint="eastAsia" w:ascii="仿宋_GB2312" w:hAnsi="仿宋_GB2312" w:eastAsia="仿宋_GB2312" w:cs="仿宋_GB2312"/>
          <w:color w:val="auto"/>
          <w:kern w:val="2"/>
          <w:sz w:val="32"/>
          <w:szCs w:val="21"/>
          <w:u w:val="none"/>
          <w:lang w:val="en-US" w:eastAsia="zh-CN" w:bidi="ar-SA"/>
        </w:rPr>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2"/>
      </w:tblGrid>
      <w:tr w14:paraId="59F3AF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22" w:type="dxa"/>
          </w:tcPr>
          <w:p w14:paraId="7C81C77D">
            <w:pPr>
              <w:keepNext w:val="0"/>
              <w:keepLines w:val="0"/>
              <w:pageBreakBefore w:val="0"/>
              <w:widowControl w:val="0"/>
              <w:suppressLineNumbers w:val="0"/>
              <w:kinsoku/>
              <w:wordWrap/>
              <w:overflowPunct/>
              <w:topLinePunct w:val="0"/>
              <w:autoSpaceDE/>
              <w:autoSpaceDN/>
              <w:bidi w:val="0"/>
              <w:adjustRightInd w:val="0"/>
              <w:snapToGrid w:val="0"/>
              <w:spacing w:beforeAutospacing="0" w:afterAutospacing="0" w:line="400" w:lineRule="exact"/>
              <w:ind w:left="0" w:right="0" w:firstLine="0" w:firstLineChars="0"/>
              <w:jc w:val="center"/>
              <w:textAlignment w:val="auto"/>
              <w:rPr>
                <w:rFonts w:hint="eastAsia" w:ascii="楷体_GB2312" w:hAnsi="楷体_GB2312" w:eastAsia="楷体_GB2312" w:cs="楷体_GB2312"/>
                <w:b/>
                <w:bCs w:val="0"/>
                <w:color w:val="auto"/>
                <w:kern w:val="2"/>
                <w:sz w:val="28"/>
                <w:szCs w:val="28"/>
                <w:highlight w:val="none"/>
                <w:u w:val="none"/>
                <w:shd w:val="clear" w:color="auto" w:fill="FFFFFF"/>
                <w:lang w:val="en-US" w:eastAsia="zh-CN" w:bidi="ar-SA"/>
              </w:rPr>
            </w:pPr>
            <w:r>
              <w:rPr>
                <w:rFonts w:hint="eastAsia" w:ascii="楷体_GB2312" w:hAnsi="楷体_GB2312" w:eastAsia="楷体_GB2312" w:cs="楷体_GB2312"/>
                <w:b/>
                <w:bCs w:val="0"/>
                <w:color w:val="auto"/>
                <w:kern w:val="2"/>
                <w:sz w:val="28"/>
                <w:szCs w:val="28"/>
                <w:highlight w:val="none"/>
                <w:u w:val="none"/>
                <w:shd w:val="clear" w:color="auto" w:fill="FFFFFF"/>
                <w:lang w:val="en-US" w:eastAsia="zh-CN" w:bidi="ar-SA"/>
              </w:rPr>
              <w:t>专栏3-1：扶沟县“十五五”产业体系规划——“3+4+N”产业体系</w:t>
            </w:r>
          </w:p>
        </w:tc>
      </w:tr>
      <w:tr w14:paraId="7A5744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48" w:hRule="atLeast"/>
          <w:jc w:val="center"/>
        </w:trPr>
        <w:tc>
          <w:tcPr>
            <w:tcW w:w="8522" w:type="dxa"/>
          </w:tcPr>
          <w:p w14:paraId="3E5CFE89">
            <w:pPr>
              <w:keepNext w:val="0"/>
              <w:keepLines w:val="0"/>
              <w:pageBreakBefore w:val="0"/>
              <w:widowControl w:val="0"/>
              <w:suppressLineNumbers w:val="0"/>
              <w:kinsoku/>
              <w:wordWrap/>
              <w:overflowPunct/>
              <w:topLinePunct w:val="0"/>
              <w:autoSpaceDE/>
              <w:autoSpaceDN/>
              <w:bidi w:val="0"/>
              <w:adjustRightInd w:val="0"/>
              <w:snapToGrid w:val="0"/>
              <w:spacing w:beforeAutospacing="0" w:afterAutospacing="0" w:line="400" w:lineRule="exact"/>
              <w:ind w:left="0" w:right="0" w:firstLine="562" w:firstLineChars="200"/>
              <w:jc w:val="both"/>
              <w:textAlignment w:val="auto"/>
              <w:rPr>
                <w:rFonts w:hint="default" w:ascii="Times New Roman" w:hAnsi="Times New Roman" w:eastAsia="仿宋_GB2312" w:cs="Times New Roman"/>
                <w:b w:val="0"/>
                <w:bCs w:val="0"/>
                <w:color w:val="auto"/>
                <w:kern w:val="2"/>
                <w:sz w:val="28"/>
                <w:szCs w:val="28"/>
                <w:highlight w:val="none"/>
                <w:u w:val="none"/>
                <w:lang w:val="en-US" w:eastAsia="zh-CN" w:bidi="ar-SA"/>
              </w:rPr>
            </w:pPr>
            <w:r>
              <w:rPr>
                <w:rFonts w:hint="eastAsia" w:ascii="Times New Roman" w:hAnsi="Times New Roman" w:eastAsia="仿宋_GB2312" w:cs="Times New Roman"/>
                <w:b/>
                <w:bCs/>
                <w:color w:val="auto"/>
                <w:kern w:val="2"/>
                <w:sz w:val="28"/>
                <w:szCs w:val="28"/>
                <w:highlight w:val="none"/>
                <w:u w:val="none"/>
                <w:lang w:val="en-US" w:eastAsia="zh-CN" w:bidi="ar-SA"/>
              </w:rPr>
              <w:t>“强基”——特色和主导产业：</w:t>
            </w:r>
            <w:r>
              <w:rPr>
                <w:rFonts w:hint="eastAsia" w:ascii="Times New Roman" w:hAnsi="Times New Roman" w:eastAsia="仿宋_GB2312" w:cs="Times New Roman"/>
                <w:b w:val="0"/>
                <w:bCs w:val="0"/>
                <w:color w:val="auto"/>
                <w:kern w:val="2"/>
                <w:sz w:val="28"/>
                <w:szCs w:val="28"/>
                <w:highlight w:val="none"/>
                <w:u w:val="none"/>
                <w:lang w:val="en-US" w:eastAsia="zh-CN" w:bidi="ar-SA"/>
              </w:rPr>
              <w:t>蔬菜产业，装备制造、纺织服装产业</w:t>
            </w:r>
          </w:p>
          <w:p w14:paraId="4627BA01">
            <w:pPr>
              <w:keepNext w:val="0"/>
              <w:keepLines w:val="0"/>
              <w:pageBreakBefore w:val="0"/>
              <w:widowControl w:val="0"/>
              <w:suppressLineNumbers w:val="0"/>
              <w:kinsoku/>
              <w:wordWrap/>
              <w:overflowPunct/>
              <w:topLinePunct w:val="0"/>
              <w:autoSpaceDE/>
              <w:autoSpaceDN/>
              <w:bidi w:val="0"/>
              <w:adjustRightInd w:val="0"/>
              <w:snapToGrid w:val="0"/>
              <w:spacing w:beforeAutospacing="0" w:afterAutospacing="0" w:line="400" w:lineRule="exact"/>
              <w:ind w:left="0" w:right="0" w:firstLine="562" w:firstLineChars="200"/>
              <w:jc w:val="both"/>
              <w:textAlignment w:val="auto"/>
              <w:rPr>
                <w:rFonts w:hint="default" w:ascii="Times New Roman" w:hAnsi="Times New Roman" w:eastAsia="仿宋_GB2312" w:cs="Times New Roman"/>
                <w:b w:val="0"/>
                <w:bCs w:val="0"/>
                <w:color w:val="auto"/>
                <w:kern w:val="2"/>
                <w:sz w:val="28"/>
                <w:szCs w:val="28"/>
                <w:highlight w:val="none"/>
                <w:u w:val="none"/>
                <w:lang w:val="en-US" w:eastAsia="zh-CN" w:bidi="ar-SA"/>
              </w:rPr>
            </w:pPr>
            <w:r>
              <w:rPr>
                <w:rFonts w:hint="eastAsia" w:ascii="Times New Roman" w:hAnsi="Times New Roman" w:eastAsia="仿宋_GB2312" w:cs="Times New Roman"/>
                <w:b/>
                <w:bCs/>
                <w:color w:val="auto"/>
                <w:kern w:val="2"/>
                <w:sz w:val="28"/>
                <w:szCs w:val="28"/>
                <w:highlight w:val="none"/>
                <w:u w:val="none"/>
                <w:lang w:val="en-US" w:eastAsia="zh-CN" w:bidi="ar-SA"/>
              </w:rPr>
              <w:t>“拓新”——新兴产业：</w:t>
            </w:r>
            <w:r>
              <w:rPr>
                <w:rFonts w:hint="eastAsia" w:ascii="Times New Roman" w:hAnsi="Times New Roman" w:eastAsia="仿宋_GB2312" w:cs="Times New Roman"/>
                <w:b w:val="0"/>
                <w:bCs w:val="0"/>
                <w:color w:val="auto"/>
                <w:kern w:val="2"/>
                <w:sz w:val="28"/>
                <w:szCs w:val="28"/>
                <w:highlight w:val="none"/>
                <w:u w:val="none"/>
                <w:lang w:val="en-US" w:eastAsia="zh-CN" w:bidi="ar-SA"/>
              </w:rPr>
              <w:t>节能环保、新能源、新材料、数字经济等新兴产业</w:t>
            </w:r>
          </w:p>
          <w:p w14:paraId="06ED8852">
            <w:pPr>
              <w:keepNext w:val="0"/>
              <w:keepLines w:val="0"/>
              <w:pageBreakBefore w:val="0"/>
              <w:widowControl w:val="0"/>
              <w:suppressLineNumbers w:val="0"/>
              <w:kinsoku/>
              <w:wordWrap/>
              <w:overflowPunct/>
              <w:topLinePunct w:val="0"/>
              <w:autoSpaceDE/>
              <w:autoSpaceDN/>
              <w:bidi w:val="0"/>
              <w:adjustRightInd w:val="0"/>
              <w:snapToGrid w:val="0"/>
              <w:spacing w:beforeAutospacing="0" w:afterAutospacing="0" w:line="400" w:lineRule="exact"/>
              <w:ind w:left="0" w:right="0" w:firstLine="562" w:firstLineChars="200"/>
              <w:jc w:val="both"/>
              <w:textAlignment w:val="auto"/>
              <w:rPr>
                <w:rFonts w:hint="default" w:ascii="仿宋" w:hAnsi="仿宋" w:eastAsia="仿宋" w:cs="仿宋"/>
                <w:b w:val="0"/>
                <w:bCs w:val="0"/>
                <w:color w:val="auto"/>
                <w:kern w:val="2"/>
                <w:sz w:val="28"/>
                <w:szCs w:val="28"/>
                <w:lang w:val="en-US" w:eastAsia="zh-CN" w:bidi="ar-SA"/>
              </w:rPr>
            </w:pPr>
            <w:r>
              <w:rPr>
                <w:rFonts w:hint="eastAsia" w:ascii="Times New Roman" w:hAnsi="Times New Roman" w:eastAsia="仿宋_GB2312" w:cs="Times New Roman"/>
                <w:b/>
                <w:bCs/>
                <w:color w:val="auto"/>
                <w:kern w:val="2"/>
                <w:sz w:val="28"/>
                <w:szCs w:val="28"/>
                <w:highlight w:val="none"/>
                <w:u w:val="none"/>
                <w:lang w:val="en-US" w:eastAsia="zh-CN" w:bidi="ar-SA"/>
              </w:rPr>
              <w:t>“谋远”——未来产业：</w:t>
            </w:r>
            <w:r>
              <w:rPr>
                <w:rFonts w:hint="eastAsia" w:ascii="Times New Roman" w:hAnsi="Times New Roman" w:eastAsia="仿宋_GB2312" w:cs="Times New Roman"/>
                <w:b w:val="0"/>
                <w:bCs w:val="0"/>
                <w:color w:val="auto"/>
                <w:kern w:val="2"/>
                <w:sz w:val="28"/>
                <w:szCs w:val="28"/>
                <w:highlight w:val="none"/>
                <w:u w:val="none"/>
                <w:lang w:val="en-US" w:eastAsia="zh-CN" w:bidi="ar-SA"/>
              </w:rPr>
              <w:t>未来制造（智能制造、生物制造、精密制造、工业互联网与物联网等）、未来材料（锂电[钠电]新能源材料、先进有色金属材料等）、未来能源（氢能与新型储能、生物质能、全链条绿色能源等）、低空经济等未来产业</w:t>
            </w:r>
          </w:p>
        </w:tc>
      </w:tr>
    </w:tbl>
    <w:p w14:paraId="5E9BEC09">
      <w:pPr>
        <w:keepNext w:val="0"/>
        <w:keepLines w:val="0"/>
        <w:pageBreakBefore w:val="0"/>
        <w:widowControl w:val="0"/>
        <w:kinsoku/>
        <w:wordWrap/>
        <w:overflowPunct/>
        <w:topLinePunct w:val="0"/>
        <w:autoSpaceDE/>
        <w:autoSpaceDN/>
        <w:bidi w:val="0"/>
        <w:adjustRightInd w:val="0"/>
        <w:snapToGrid w:val="0"/>
        <w:spacing w:before="361" w:beforeLines="100" w:line="560" w:lineRule="exact"/>
        <w:ind w:firstLine="643" w:firstLineChars="200"/>
        <w:textAlignment w:val="auto"/>
        <w:outlineLvl w:val="3"/>
        <w:rPr>
          <w:rFonts w:hint="default" w:ascii="楷体_GB2312" w:hAnsi="楷体_GB2312" w:eastAsia="楷体_GB2312" w:cs="楷体_GB2312"/>
          <w:b/>
          <w:bCs/>
          <w:color w:val="auto"/>
          <w:kern w:val="2"/>
          <w:sz w:val="32"/>
          <w:szCs w:val="32"/>
          <w:u w:val="none"/>
          <w:lang w:val="en-US" w:eastAsia="zh-CN" w:bidi="ar-SA"/>
        </w:rPr>
      </w:pPr>
      <w:r>
        <w:rPr>
          <w:rFonts w:hint="eastAsia" w:ascii="楷体_GB2312" w:hAnsi="楷体_GB2312" w:eastAsia="楷体_GB2312" w:cs="楷体_GB2312"/>
          <w:b/>
          <w:bCs/>
          <w:color w:val="auto"/>
          <w:kern w:val="2"/>
          <w:sz w:val="32"/>
          <w:szCs w:val="32"/>
          <w:u w:val="none"/>
          <w:lang w:val="en-US" w:eastAsia="zh-CN" w:bidi="ar-SA"/>
        </w:rPr>
        <w:t>（一）</w:t>
      </w:r>
      <w:r>
        <w:rPr>
          <w:rFonts w:hint="default" w:ascii="楷体_GB2312" w:hAnsi="楷体_GB2312" w:eastAsia="楷体_GB2312" w:cs="楷体_GB2312"/>
          <w:b/>
          <w:bCs/>
          <w:color w:val="auto"/>
          <w:kern w:val="2"/>
          <w:sz w:val="32"/>
          <w:szCs w:val="32"/>
          <w:u w:val="none"/>
          <w:lang w:val="en-US" w:eastAsia="zh-CN" w:bidi="ar-SA"/>
        </w:rPr>
        <w:t>巩固</w:t>
      </w:r>
      <w:r>
        <w:rPr>
          <w:rFonts w:hint="eastAsia" w:ascii="楷体_GB2312" w:hAnsi="楷体_GB2312" w:eastAsia="楷体_GB2312" w:cs="楷体_GB2312"/>
          <w:b/>
          <w:bCs/>
          <w:color w:val="auto"/>
          <w:kern w:val="2"/>
          <w:sz w:val="32"/>
          <w:szCs w:val="32"/>
          <w:u w:val="none"/>
          <w:lang w:val="en-US" w:eastAsia="zh-CN" w:bidi="ar-SA"/>
        </w:rPr>
        <w:t>特色和</w:t>
      </w:r>
      <w:r>
        <w:rPr>
          <w:rFonts w:hint="default" w:ascii="楷体_GB2312" w:hAnsi="楷体_GB2312" w:eastAsia="楷体_GB2312" w:cs="楷体_GB2312"/>
          <w:b/>
          <w:bCs/>
          <w:color w:val="auto"/>
          <w:kern w:val="2"/>
          <w:sz w:val="32"/>
          <w:szCs w:val="32"/>
          <w:u w:val="none"/>
          <w:lang w:val="en-US" w:eastAsia="zh-CN" w:bidi="ar-SA"/>
        </w:rPr>
        <w:t>主导产业</w:t>
      </w:r>
      <w:r>
        <w:rPr>
          <w:rFonts w:hint="eastAsia" w:ascii="楷体_GB2312" w:hAnsi="楷体_GB2312" w:eastAsia="楷体_GB2312" w:cs="楷体_GB2312"/>
          <w:b/>
          <w:bCs/>
          <w:color w:val="auto"/>
          <w:kern w:val="2"/>
          <w:sz w:val="32"/>
          <w:szCs w:val="32"/>
          <w:u w:val="none"/>
          <w:lang w:val="en-US" w:eastAsia="zh-CN" w:bidi="ar-SA"/>
        </w:rPr>
        <w:t>优势</w:t>
      </w:r>
    </w:p>
    <w:p w14:paraId="3BE826D2">
      <w:pPr>
        <w:pageBreakBefore w:val="0"/>
        <w:kinsoku/>
        <w:wordWrap/>
        <w:overflowPunct/>
        <w:topLinePunct w:val="0"/>
        <w:autoSpaceDE/>
        <w:bidi w:val="0"/>
        <w:adjustRightInd w:val="0"/>
        <w:snapToGrid w:val="0"/>
        <w:spacing w:line="560" w:lineRule="exact"/>
        <w:ind w:firstLine="640" w:firstLineChars="200"/>
        <w:textAlignment w:val="auto"/>
        <w:rPr>
          <w:rFonts w:hint="eastAsia" w:ascii="仿宋_GB2312" w:hAnsi="仿宋_GB2312" w:eastAsia="仿宋_GB2312" w:cs="仿宋_GB2312"/>
          <w:color w:val="auto"/>
          <w:kern w:val="2"/>
          <w:sz w:val="32"/>
          <w:szCs w:val="21"/>
          <w:highlight w:val="none"/>
          <w:u w:val="none"/>
          <w:lang w:val="en-US" w:eastAsia="zh-CN" w:bidi="ar-SA"/>
        </w:rPr>
      </w:pPr>
      <w:r>
        <w:rPr>
          <w:rFonts w:hint="default" w:ascii="仿宋_GB2312" w:hAnsi="仿宋_GB2312" w:eastAsia="仿宋_GB2312" w:cs="仿宋_GB2312"/>
          <w:color w:val="auto"/>
          <w:kern w:val="2"/>
          <w:sz w:val="32"/>
          <w:szCs w:val="21"/>
          <w:highlight w:val="none"/>
          <w:u w:val="none"/>
          <w:lang w:val="en-US" w:eastAsia="zh-CN" w:bidi="ar-SA"/>
        </w:rPr>
        <w:t>将蔬菜产业</w:t>
      </w:r>
      <w:r>
        <w:rPr>
          <w:rFonts w:hint="eastAsia" w:ascii="仿宋_GB2312" w:hAnsi="仿宋_GB2312" w:eastAsia="仿宋_GB2312" w:cs="仿宋_GB2312"/>
          <w:color w:val="auto"/>
          <w:kern w:val="2"/>
          <w:sz w:val="32"/>
          <w:szCs w:val="21"/>
          <w:highlight w:val="none"/>
          <w:u w:val="none"/>
          <w:lang w:val="en-US" w:eastAsia="zh-CN" w:bidi="ar-SA"/>
        </w:rPr>
        <w:t>作为特色产业</w:t>
      </w:r>
      <w:r>
        <w:rPr>
          <w:rFonts w:hint="default" w:ascii="仿宋_GB2312" w:hAnsi="仿宋_GB2312" w:eastAsia="仿宋_GB2312" w:cs="仿宋_GB2312"/>
          <w:color w:val="auto"/>
          <w:kern w:val="2"/>
          <w:sz w:val="32"/>
          <w:szCs w:val="21"/>
          <w:highlight w:val="none"/>
          <w:u w:val="none"/>
          <w:lang w:val="en-US" w:eastAsia="zh-CN" w:bidi="ar-SA"/>
        </w:rPr>
        <w:t>、</w:t>
      </w:r>
      <w:r>
        <w:rPr>
          <w:rFonts w:hint="eastAsia" w:ascii="仿宋_GB2312" w:hAnsi="仿宋_GB2312" w:eastAsia="仿宋_GB2312" w:cs="仿宋_GB2312"/>
          <w:color w:val="auto"/>
          <w:kern w:val="2"/>
          <w:sz w:val="32"/>
          <w:szCs w:val="21"/>
          <w:highlight w:val="none"/>
          <w:u w:val="none"/>
          <w:lang w:val="en-US" w:eastAsia="zh-CN" w:bidi="ar-SA"/>
        </w:rPr>
        <w:t>汽车零部件及配件</w:t>
      </w:r>
      <w:r>
        <w:rPr>
          <w:rFonts w:hint="default" w:ascii="仿宋_GB2312" w:hAnsi="仿宋_GB2312" w:eastAsia="仿宋_GB2312" w:cs="仿宋_GB2312"/>
          <w:color w:val="auto"/>
          <w:kern w:val="2"/>
          <w:sz w:val="32"/>
          <w:szCs w:val="21"/>
          <w:highlight w:val="none"/>
          <w:u w:val="none"/>
          <w:lang w:val="en-US" w:eastAsia="zh-CN" w:bidi="ar-SA"/>
        </w:rPr>
        <w:t>制造</w:t>
      </w:r>
      <w:r>
        <w:rPr>
          <w:rFonts w:hint="eastAsia" w:ascii="仿宋_GB2312" w:hAnsi="仿宋_GB2312" w:eastAsia="仿宋_GB2312" w:cs="仿宋_GB2312"/>
          <w:color w:val="auto"/>
          <w:kern w:val="2"/>
          <w:sz w:val="32"/>
          <w:szCs w:val="21"/>
          <w:highlight w:val="none"/>
          <w:u w:val="none"/>
          <w:lang w:val="en-US" w:eastAsia="zh-CN" w:bidi="ar-SA"/>
        </w:rPr>
        <w:t>和棉</w:t>
      </w:r>
      <w:r>
        <w:rPr>
          <w:rFonts w:hint="default" w:ascii="仿宋_GB2312" w:hAnsi="仿宋_GB2312" w:eastAsia="仿宋_GB2312" w:cs="仿宋_GB2312"/>
          <w:color w:val="auto"/>
          <w:kern w:val="2"/>
          <w:sz w:val="32"/>
          <w:szCs w:val="21"/>
          <w:highlight w:val="none"/>
          <w:u w:val="none"/>
          <w:lang w:val="en-US" w:eastAsia="zh-CN" w:bidi="ar-SA"/>
        </w:rPr>
        <w:t>纺织</w:t>
      </w:r>
      <w:r>
        <w:rPr>
          <w:rFonts w:hint="eastAsia" w:ascii="仿宋_GB2312" w:hAnsi="仿宋_GB2312" w:eastAsia="仿宋_GB2312" w:cs="仿宋_GB2312"/>
          <w:color w:val="auto"/>
          <w:kern w:val="2"/>
          <w:sz w:val="32"/>
          <w:szCs w:val="21"/>
          <w:highlight w:val="none"/>
          <w:u w:val="none"/>
          <w:lang w:val="en-US" w:eastAsia="zh-CN" w:bidi="ar-SA"/>
        </w:rPr>
        <w:t>及印染加工</w:t>
      </w:r>
      <w:r>
        <w:rPr>
          <w:rFonts w:hint="default" w:ascii="仿宋_GB2312" w:hAnsi="仿宋_GB2312" w:eastAsia="仿宋_GB2312" w:cs="仿宋_GB2312"/>
          <w:color w:val="auto"/>
          <w:kern w:val="2"/>
          <w:sz w:val="32"/>
          <w:szCs w:val="21"/>
          <w:highlight w:val="none"/>
          <w:u w:val="none"/>
          <w:lang w:val="en-US" w:eastAsia="zh-CN" w:bidi="ar-SA"/>
        </w:rPr>
        <w:t>作为主导产业，奠定产业体系基本盘</w:t>
      </w:r>
      <w:r>
        <w:rPr>
          <w:rFonts w:hint="eastAsia" w:ascii="仿宋_GB2312" w:hAnsi="仿宋_GB2312" w:eastAsia="仿宋_GB2312" w:cs="仿宋_GB2312"/>
          <w:color w:val="auto"/>
          <w:kern w:val="2"/>
          <w:sz w:val="32"/>
          <w:szCs w:val="21"/>
          <w:highlight w:val="none"/>
          <w:u w:val="none"/>
          <w:lang w:val="en-US" w:eastAsia="zh-CN" w:bidi="ar-SA"/>
        </w:rPr>
        <w:t>。</w:t>
      </w:r>
    </w:p>
    <w:p w14:paraId="7148F138">
      <w:pPr>
        <w:pageBreakBefore w:val="0"/>
        <w:kinsoku/>
        <w:wordWrap/>
        <w:overflowPunct/>
        <w:topLinePunct w:val="0"/>
        <w:autoSpaceDE/>
        <w:bidi w:val="0"/>
        <w:adjustRightInd w:val="0"/>
        <w:snapToGrid w:val="0"/>
        <w:spacing w:line="560" w:lineRule="exact"/>
        <w:ind w:firstLine="643" w:firstLineChars="200"/>
        <w:textAlignment w:val="auto"/>
        <w:rPr>
          <w:rFonts w:hint="eastAsia" w:ascii="仿宋_GB2312" w:hAnsi="仿宋_GB2312" w:eastAsia="仿宋_GB2312" w:cs="仿宋_GB2312"/>
          <w:color w:val="auto"/>
          <w:kern w:val="2"/>
          <w:sz w:val="32"/>
          <w:szCs w:val="21"/>
          <w:u w:val="none"/>
          <w:lang w:val="en-US" w:eastAsia="zh-CN" w:bidi="ar-SA"/>
        </w:rPr>
      </w:pPr>
      <w:r>
        <w:rPr>
          <w:rFonts w:hint="eastAsia" w:ascii="仿宋_GB2312" w:hAnsi="仿宋_GB2312" w:eastAsia="仿宋_GB2312" w:cs="仿宋_GB2312"/>
          <w:b/>
          <w:bCs/>
          <w:color w:val="auto"/>
          <w:kern w:val="2"/>
          <w:sz w:val="32"/>
          <w:szCs w:val="21"/>
          <w:u w:val="none"/>
          <w:lang w:val="en-US" w:eastAsia="zh-CN" w:bidi="ar-SA"/>
        </w:rPr>
        <w:t>做强蔬菜产业。</w:t>
      </w:r>
      <w:r>
        <w:rPr>
          <w:rFonts w:hint="eastAsia" w:ascii="仿宋_GB2312" w:hAnsi="仿宋_GB2312" w:eastAsia="仿宋_GB2312" w:cs="仿宋_GB2312"/>
          <w:color w:val="auto"/>
          <w:kern w:val="2"/>
          <w:sz w:val="32"/>
          <w:szCs w:val="21"/>
          <w:u w:val="none"/>
          <w:lang w:val="en-US" w:eastAsia="zh-CN" w:bidi="ar-SA"/>
        </w:rPr>
        <w:t>打造“全国有影响的全生态蔬菜之都”，构建“一园三带四区”布局，建设国家级现代农业产业园，推动“扶沟蔬菜”品牌走向全国，打造国家现代农业全产业链示范基地。建成优质蔬菜生产、加工、物流产业链群。按照“规模化、数字化、专业化、品牌化、集团化”，推进全程绿色高效生产，做大做强蔬菜产业，坚持供应链、产业链和价值链“三链同构”，做到“把的准、种的好、运的出”，实现“路通华夏、菜销五洲”愿景，将扶沟县建设成为全省领先、全国具有影响力的全生态蔬菜之都。</w:t>
      </w:r>
      <w:r>
        <w:rPr>
          <w:rFonts w:hint="eastAsia" w:ascii="仿宋_GB2312" w:hAnsi="仿宋_GB2312" w:eastAsia="仿宋_GB2312" w:cs="仿宋_GB2312"/>
          <w:color w:val="auto"/>
          <w:kern w:val="2"/>
          <w:sz w:val="32"/>
          <w:szCs w:val="21"/>
          <w:highlight w:val="none"/>
          <w:u w:val="none"/>
          <w:lang w:val="en-US" w:eastAsia="zh-CN" w:bidi="ar-SA"/>
        </w:rPr>
        <w:t>依托蔬菜精深加工产业园，大力扶持“中食央厨”、遍地红辣椒、豫香果果等农产品精深加工企业，推动蔬菜从初级加工向精细化加工延伸，增加蔬菜瓜果的附加值，不断提升产品竞争力。</w:t>
      </w:r>
      <w:r>
        <w:rPr>
          <w:rFonts w:hint="eastAsia" w:ascii="仿宋_GB2312" w:hAnsi="仿宋_GB2312" w:eastAsia="仿宋_GB2312" w:cs="仿宋_GB2312"/>
          <w:color w:val="auto"/>
          <w:kern w:val="2"/>
          <w:sz w:val="32"/>
          <w:szCs w:val="21"/>
          <w:u w:val="none"/>
          <w:lang w:val="en-US" w:eastAsia="zh-CN" w:bidi="ar-SA"/>
        </w:rPr>
        <w:t>加速建设农业观光园区、乡村特色民宿、民俗特色街区等融合业态，形成扶沟县特色农产品在种苗培育、生产加工、品牌营销、健康饮食、观光旅游、休闲康养等全产业发展的本地特色品牌矩阵。</w:t>
      </w:r>
    </w:p>
    <w:p w14:paraId="38F24AD2">
      <w:pPr>
        <w:pageBreakBefore w:val="0"/>
        <w:kinsoku/>
        <w:wordWrap/>
        <w:overflowPunct/>
        <w:topLinePunct w:val="0"/>
        <w:autoSpaceDE/>
        <w:bidi w:val="0"/>
        <w:adjustRightInd w:val="0"/>
        <w:snapToGrid w:val="0"/>
        <w:spacing w:line="560" w:lineRule="exact"/>
        <w:ind w:firstLine="643"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b/>
          <w:bCs/>
          <w:color w:val="auto"/>
          <w:kern w:val="2"/>
          <w:sz w:val="32"/>
          <w:szCs w:val="21"/>
          <w:highlight w:val="none"/>
          <w:u w:val="none"/>
          <w:lang w:val="en-US" w:eastAsia="zh-CN" w:bidi="ar-SA"/>
        </w:rPr>
        <w:t>以汽车零部件及配件制造为核心做大装备制造产业。</w:t>
      </w:r>
      <w:r>
        <w:rPr>
          <w:rFonts w:hint="eastAsia" w:ascii="仿宋_GB2312" w:hAnsi="仿宋_GB2312" w:eastAsia="仿宋_GB2312" w:cs="仿宋_GB2312"/>
          <w:color w:val="auto"/>
          <w:kern w:val="2"/>
          <w:sz w:val="32"/>
          <w:szCs w:val="21"/>
          <w:highlight w:val="none"/>
          <w:u w:val="none"/>
          <w:lang w:val="en-US" w:eastAsia="zh-CN" w:bidi="ar-SA"/>
        </w:rPr>
        <w:t>规划扶沟县装备制造产业带，推动装备制造从“传统铸造”向“智能精密”转型，打造豫东汽车零部件制造产业高地。</w:t>
      </w:r>
      <w:r>
        <w:rPr>
          <w:rFonts w:hint="eastAsia" w:ascii="仿宋_GB2312" w:hAnsi="仿宋_GB2312" w:eastAsia="仿宋_GB2312" w:cs="仿宋_GB2312"/>
          <w:sz w:val="32"/>
          <w:szCs w:val="32"/>
          <w:highlight w:val="none"/>
          <w:lang w:val="en-US" w:eastAsia="zh-CN"/>
        </w:rPr>
        <w:t>抢抓国内汽配产业转移和新能源汽车发展机遇，依托中原汽车零部件、绿色铸造、设备精密加工中心产业园招大引强，引进发动机零部件及汽车底盘配件企业，强链补链，形成汽车零部件及配件全产业链。加快推进零碳铝制品、嘉乐华汽车内饰产业园建设，壮大金泰金属、维俏科技等入选比亚迪供应商企业，引导缸盖缸体等传统汽车零部件制造企业，瞄准新能源汽车赛道转型升级，力争更多产业进圈入链，促进全县汽车零部件及配件制造高质量发展。到2030年，形成完善的汽车零部件生产链，年产值突破200亿元。开展汽车零部件产业新一轮智能化技术大改造，分层次推进企业智能化改造提升扩面，推动一批智能化工长建设。扩大汽车零部件企业数字化问诊服务覆盖，实施一批智能化改造项目，推进传统制造业自动化改造升级全覆盖。积极融入国家“双循环”格局，实施精品培育工程，对标国际先进企业和先进标准，完善装备产品标准体系，扶持企业创建驰名商标和名优产品，培育“扶沟汽车零部件制造业基地”区域品牌，提高智能制造业产业发展竞争力。加大科技研发、优化产业结构、释放生产效能、提高综合效益。建设面向行业的产业研发中心、产业技术中心，加强企业技术改造和研发投入，引导企业加大技术创新力度，抓住河南工程学院与扶沟县深度合作的机遇，充分利用河南工程学院在装备制造业方面的科研、技术优势，推进扶沟县装备制造业提档升级。加强与行业龙头企业洽谈对接，吸引其到扶沟设立制造研发基地，加大汽车零部件关键环节高层次人才的引进和培育，组建研发团队，开展技术攻关、新产品研发。</w:t>
      </w:r>
    </w:p>
    <w:p w14:paraId="19820707">
      <w:pPr>
        <w:keepNext w:val="0"/>
        <w:keepLines w:val="0"/>
        <w:pageBreakBefore w:val="0"/>
        <w:widowControl w:val="0"/>
        <w:kinsoku/>
        <w:wordWrap/>
        <w:overflowPunct/>
        <w:topLinePunct w:val="0"/>
        <w:autoSpaceDE/>
        <w:autoSpaceDN/>
        <w:bidi w:val="0"/>
        <w:adjustRightInd w:val="0"/>
        <w:snapToGrid w:val="0"/>
        <w:spacing w:after="721" w:afterLines="200" w:line="560" w:lineRule="exact"/>
        <w:ind w:firstLine="643"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b/>
          <w:bCs/>
          <w:color w:val="auto"/>
          <w:kern w:val="2"/>
          <w:sz w:val="32"/>
          <w:szCs w:val="21"/>
          <w:highlight w:val="none"/>
          <w:u w:val="none"/>
          <w:lang w:val="en-US" w:eastAsia="zh-CN" w:bidi="ar-SA"/>
        </w:rPr>
        <w:t>以棉纺织及印染加工为核心做优纺织服装产业。</w:t>
      </w:r>
      <w:r>
        <w:rPr>
          <w:rFonts w:hint="eastAsia" w:ascii="仿宋_GB2312" w:hAnsi="仿宋_GB2312" w:eastAsia="仿宋_GB2312" w:cs="仿宋_GB2312"/>
          <w:color w:val="auto"/>
          <w:kern w:val="2"/>
          <w:sz w:val="32"/>
          <w:szCs w:val="21"/>
          <w:highlight w:val="none"/>
          <w:u w:val="none"/>
          <w:lang w:val="en-US" w:eastAsia="zh-CN" w:bidi="ar-SA"/>
        </w:rPr>
        <w:t>规划纺织服装产业带，加速纺织服装产业集聚发展。承接全链条纺织-印染-成品制造企业有序转移，打造高端纺织工业发展的核心区域。</w:t>
      </w:r>
      <w:r>
        <w:rPr>
          <w:rFonts w:hint="eastAsia" w:ascii="仿宋_GB2312" w:hAnsi="仿宋_GB2312" w:eastAsia="仿宋_GB2312" w:cs="仿宋_GB2312"/>
          <w:sz w:val="32"/>
          <w:szCs w:val="32"/>
          <w:highlight w:val="none"/>
          <w:lang w:val="en-US" w:eastAsia="zh-CN"/>
        </w:rPr>
        <w:t>以“创新、优化、升级、引领”为核心，以“扩大规模、完善链条、龙头带动、打造品牌、支撑工业”为重点，积极承接始祖鸟、安踏等知名品牌生产基地转移，</w:t>
      </w:r>
      <w:r>
        <w:rPr>
          <w:rFonts w:hint="eastAsia" w:ascii="仿宋_GB2312" w:hAnsi="仿宋_GB2312" w:eastAsia="仿宋_GB2312" w:cs="仿宋_GB2312"/>
          <w:color w:val="auto"/>
          <w:kern w:val="2"/>
          <w:sz w:val="32"/>
          <w:szCs w:val="21"/>
          <w:highlight w:val="none"/>
          <w:u w:val="none"/>
          <w:lang w:val="en-US" w:eastAsia="zh-CN" w:bidi="ar-SA"/>
        </w:rPr>
        <w:t>推动纺织印染向高端面料、成衣制造延伸</w:t>
      </w:r>
      <w:r>
        <w:rPr>
          <w:rFonts w:hint="eastAsia" w:ascii="仿宋_GB2312" w:hAnsi="仿宋_GB2312" w:eastAsia="仿宋_GB2312" w:cs="仿宋_GB2312"/>
          <w:sz w:val="32"/>
          <w:szCs w:val="32"/>
          <w:highlight w:val="none"/>
          <w:lang w:val="en-US" w:eastAsia="zh-CN"/>
        </w:rPr>
        <w:t>，依托中垣环保印染、盛瑞纺织绿色制造、中增家纺、纺织科技产业园，加快实施苏友纺织、世成织造、启航顺纺织等一批重点项目，推动纺纱、织造、染整、家纺、成衣全链条集群化发展。到2030年，纺织服装产业产值突破200亿元。建立以企业为主体、科研院所为支撑、市场为导向、产学研相结合的创新体系，从贴牌加工向创建自主品牌转变。鼓励龙头企业建立省级企业技术中心和纺织产品检验检测中心，保证产品质量。研发一批具有自主知识产权纺织服装印染共性和关键性技术的项目。加强与高等院校产教融合，支持建设产学研政合作平台，探索建设纺织印染产业学院。完善纺织服装行业“棉花仓储物流一棉花加工一纺纱一织布一染整一服装加工”产业链条，加快引导企业向棉纱、坯布加工、印花、印染、绣花、辅料加工、成衣制造等高附加值产品领域延伸，拉长产业链，建立完整的上下游协作配套体系，带动全链条协同发展，提升本地配套能力，建设成为国内先进的纺织印染全产业链，带动产业整体转型升级。</w:t>
      </w:r>
    </w:p>
    <w:p w14:paraId="4BBC21B4">
      <w:pPr>
        <w:keepNext w:val="0"/>
        <w:keepLines w:val="0"/>
        <w:pageBreakBefore w:val="0"/>
        <w:widowControl w:val="0"/>
        <w:kinsoku/>
        <w:wordWrap/>
        <w:overflowPunct/>
        <w:topLinePunct w:val="0"/>
        <w:autoSpaceDE/>
        <w:autoSpaceDN/>
        <w:bidi w:val="0"/>
        <w:adjustRightInd w:val="0"/>
        <w:snapToGrid w:val="0"/>
        <w:spacing w:after="721" w:afterLines="200" w:line="560" w:lineRule="exact"/>
        <w:ind w:firstLine="640" w:firstLineChars="200"/>
        <w:textAlignment w:val="auto"/>
        <w:rPr>
          <w:rFonts w:hint="eastAsia" w:ascii="仿宋_GB2312" w:hAnsi="仿宋_GB2312" w:eastAsia="仿宋_GB2312" w:cs="仿宋_GB2312"/>
          <w:sz w:val="32"/>
          <w:szCs w:val="32"/>
          <w:highlight w:val="none"/>
          <w:lang w:val="en-US" w:eastAsia="zh-CN"/>
        </w:rPr>
      </w:pPr>
    </w:p>
    <w:tbl>
      <w:tblPr>
        <w:tblStyle w:val="2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74"/>
      </w:tblGrid>
      <w:tr w14:paraId="3748C2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jc w:val="center"/>
        </w:trPr>
        <w:tc>
          <w:tcPr>
            <w:tcW w:w="8674" w:type="dxa"/>
            <w:noWrap w:val="0"/>
            <w:vAlign w:val="center"/>
          </w:tcPr>
          <w:p w14:paraId="2E54E46D">
            <w:pPr>
              <w:keepNext w:val="0"/>
              <w:keepLines w:val="0"/>
              <w:pageBreakBefore w:val="0"/>
              <w:widowControl w:val="0"/>
              <w:suppressLineNumbers w:val="0"/>
              <w:kinsoku/>
              <w:wordWrap/>
              <w:overflowPunct/>
              <w:topLinePunct w:val="0"/>
              <w:autoSpaceDE/>
              <w:autoSpaceDN/>
              <w:bidi w:val="0"/>
              <w:adjustRightInd w:val="0"/>
              <w:snapToGrid w:val="0"/>
              <w:spacing w:beforeAutospacing="0" w:afterAutospacing="0" w:line="400" w:lineRule="exact"/>
              <w:ind w:left="0" w:right="0" w:firstLine="0" w:firstLineChars="0"/>
              <w:jc w:val="center"/>
              <w:textAlignment w:val="auto"/>
              <w:rPr>
                <w:rFonts w:hint="default" w:ascii="Times New Roman" w:hAnsi="Times New Roman" w:eastAsia="仿宋" w:cs="Times New Roman"/>
                <w:color w:val="auto"/>
                <w:sz w:val="28"/>
                <w:szCs w:val="28"/>
                <w:highlight w:val="none"/>
                <w:u w:val="none"/>
                <w:shd w:val="clear" w:color="auto" w:fill="FFFFFF"/>
              </w:rPr>
            </w:pPr>
            <w:r>
              <w:rPr>
                <w:rFonts w:hint="eastAsia" w:ascii="楷体_GB2312" w:hAnsi="楷体_GB2312" w:eastAsia="楷体_GB2312" w:cs="楷体_GB2312"/>
                <w:b/>
                <w:bCs w:val="0"/>
                <w:color w:val="auto"/>
                <w:sz w:val="28"/>
                <w:szCs w:val="28"/>
                <w:highlight w:val="none"/>
                <w:u w:val="none"/>
                <w:shd w:val="clear" w:color="auto" w:fill="FFFFFF"/>
              </w:rPr>
              <w:t>专栏</w:t>
            </w:r>
            <w:r>
              <w:rPr>
                <w:rFonts w:hint="eastAsia" w:ascii="楷体_GB2312" w:hAnsi="楷体_GB2312" w:eastAsia="楷体_GB2312" w:cs="楷体_GB2312"/>
                <w:b/>
                <w:bCs w:val="0"/>
                <w:color w:val="auto"/>
                <w:sz w:val="28"/>
                <w:szCs w:val="28"/>
                <w:highlight w:val="none"/>
                <w:u w:val="none"/>
                <w:shd w:val="clear" w:color="auto" w:fill="FFFFFF"/>
                <w:lang w:val="en-US" w:eastAsia="zh-CN"/>
              </w:rPr>
              <w:t>3-2</w:t>
            </w:r>
            <w:r>
              <w:rPr>
                <w:rFonts w:hint="eastAsia" w:ascii="楷体_GB2312" w:hAnsi="楷体_GB2312" w:eastAsia="楷体_GB2312" w:cs="楷体_GB2312"/>
                <w:b/>
                <w:bCs w:val="0"/>
                <w:color w:val="auto"/>
                <w:sz w:val="28"/>
                <w:szCs w:val="28"/>
                <w:highlight w:val="none"/>
                <w:u w:val="none"/>
                <w:shd w:val="clear" w:color="auto" w:fill="FFFFFF"/>
              </w:rPr>
              <w:t>：“十</w:t>
            </w:r>
            <w:r>
              <w:rPr>
                <w:rFonts w:hint="eastAsia" w:ascii="楷体_GB2312" w:hAnsi="楷体_GB2312" w:eastAsia="楷体_GB2312" w:cs="楷体_GB2312"/>
                <w:b/>
                <w:bCs w:val="0"/>
                <w:color w:val="auto"/>
                <w:sz w:val="28"/>
                <w:szCs w:val="28"/>
                <w:highlight w:val="none"/>
                <w:u w:val="none"/>
                <w:shd w:val="clear" w:color="auto" w:fill="FFFFFF"/>
                <w:lang w:val="en-US" w:eastAsia="zh-CN"/>
              </w:rPr>
              <w:t>五</w:t>
            </w:r>
            <w:r>
              <w:rPr>
                <w:rFonts w:hint="eastAsia" w:ascii="楷体_GB2312" w:hAnsi="楷体_GB2312" w:eastAsia="楷体_GB2312" w:cs="楷体_GB2312"/>
                <w:b/>
                <w:bCs w:val="0"/>
                <w:color w:val="auto"/>
                <w:sz w:val="28"/>
                <w:szCs w:val="28"/>
                <w:highlight w:val="none"/>
                <w:u w:val="none"/>
                <w:shd w:val="clear" w:color="auto" w:fill="FFFFFF"/>
              </w:rPr>
              <w:t>五”</w:t>
            </w:r>
            <w:r>
              <w:rPr>
                <w:rFonts w:hint="eastAsia" w:ascii="楷体_GB2312" w:hAnsi="楷体_GB2312" w:eastAsia="楷体_GB2312" w:cs="楷体_GB2312"/>
                <w:b/>
                <w:bCs w:val="0"/>
                <w:color w:val="auto"/>
                <w:sz w:val="28"/>
                <w:szCs w:val="28"/>
                <w:highlight w:val="none"/>
                <w:u w:val="none"/>
                <w:shd w:val="clear" w:color="auto" w:fill="FFFFFF"/>
                <w:lang w:val="en-US" w:eastAsia="zh-CN"/>
              </w:rPr>
              <w:t>期间</w:t>
            </w:r>
            <w:r>
              <w:rPr>
                <w:rFonts w:hint="default" w:ascii="楷体_GB2312" w:hAnsi="楷体_GB2312" w:eastAsia="楷体_GB2312" w:cs="楷体_GB2312"/>
                <w:b/>
                <w:bCs w:val="0"/>
                <w:color w:val="auto"/>
                <w:sz w:val="28"/>
                <w:szCs w:val="28"/>
                <w:highlight w:val="none"/>
                <w:u w:val="none"/>
                <w:shd w:val="clear" w:color="auto" w:fill="FFFFFF"/>
                <w:lang w:val="en-US" w:eastAsia="zh-CN"/>
              </w:rPr>
              <w:t>主导产业</w:t>
            </w:r>
            <w:r>
              <w:rPr>
                <w:rFonts w:hint="eastAsia" w:ascii="楷体_GB2312" w:hAnsi="楷体_GB2312" w:eastAsia="楷体_GB2312" w:cs="楷体_GB2312"/>
                <w:b/>
                <w:bCs w:val="0"/>
                <w:color w:val="auto"/>
                <w:sz w:val="28"/>
                <w:szCs w:val="28"/>
                <w:highlight w:val="none"/>
                <w:u w:val="none"/>
                <w:shd w:val="clear" w:color="auto" w:fill="FFFFFF"/>
              </w:rPr>
              <w:t>重点项目</w:t>
            </w:r>
          </w:p>
        </w:tc>
      </w:tr>
      <w:tr w14:paraId="128577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jc w:val="center"/>
        </w:trPr>
        <w:tc>
          <w:tcPr>
            <w:tcW w:w="8674" w:type="dxa"/>
            <w:noWrap w:val="0"/>
            <w:vAlign w:val="center"/>
          </w:tcPr>
          <w:p w14:paraId="064E1B56">
            <w:pPr>
              <w:keepNext w:val="0"/>
              <w:keepLines w:val="0"/>
              <w:pageBreakBefore w:val="0"/>
              <w:widowControl w:val="0"/>
              <w:suppressLineNumbers w:val="0"/>
              <w:kinsoku/>
              <w:wordWrap/>
              <w:overflowPunct/>
              <w:topLinePunct w:val="0"/>
              <w:autoSpaceDE/>
              <w:autoSpaceDN/>
              <w:bidi w:val="0"/>
              <w:adjustRightInd w:val="0"/>
              <w:snapToGrid w:val="0"/>
              <w:spacing w:beforeAutospacing="0" w:afterAutospacing="0" w:line="400" w:lineRule="exact"/>
              <w:ind w:left="0" w:right="0" w:firstLine="562" w:firstLineChars="200"/>
              <w:jc w:val="both"/>
              <w:textAlignment w:val="auto"/>
              <w:rPr>
                <w:rFonts w:hint="eastAsia" w:ascii="Times New Roman" w:hAnsi="Times New Roman" w:eastAsia="仿宋_GB2312" w:cs="Times New Roman"/>
                <w:b w:val="0"/>
                <w:bCs w:val="0"/>
                <w:color w:val="auto"/>
                <w:kern w:val="2"/>
                <w:sz w:val="28"/>
                <w:szCs w:val="28"/>
                <w:highlight w:val="none"/>
                <w:u w:val="none"/>
                <w:lang w:val="en-US" w:eastAsia="zh-CN" w:bidi="ar-SA"/>
              </w:rPr>
            </w:pPr>
            <w:r>
              <w:rPr>
                <w:rFonts w:hint="eastAsia" w:ascii="Times New Roman" w:hAnsi="Times New Roman" w:eastAsia="仿宋_GB2312" w:cs="Times New Roman"/>
                <w:b/>
                <w:bCs/>
                <w:color w:val="auto"/>
                <w:kern w:val="2"/>
                <w:sz w:val="28"/>
                <w:szCs w:val="28"/>
                <w:highlight w:val="none"/>
                <w:u w:val="none"/>
                <w:lang w:val="en-US" w:eastAsia="zh-CN" w:bidi="ar-SA"/>
              </w:rPr>
              <w:t>装备制造：重点实施</w:t>
            </w:r>
            <w:r>
              <w:rPr>
                <w:rFonts w:hint="eastAsia" w:ascii="Times New Roman" w:hAnsi="Times New Roman" w:eastAsia="仿宋_GB2312" w:cs="Times New Roman"/>
                <w:b w:val="0"/>
                <w:bCs w:val="0"/>
                <w:color w:val="auto"/>
                <w:kern w:val="2"/>
                <w:sz w:val="28"/>
                <w:szCs w:val="28"/>
                <w:highlight w:val="none"/>
                <w:u w:val="none"/>
                <w:lang w:val="en-US" w:eastAsia="zh-CN" w:bidi="ar-SA"/>
              </w:rPr>
              <w:t>零碳铝制品及新能源汽车零部件产业园项目、扶沟县镁合金制造产业园基础设施建设项目、扶沟县汽车零部件智能制造产业园基础设施项目、扶沟县镁合金制造产业园基础设施建设项目、扶沟县新能源汽配产业园建设项目、扶沟县轻量化汽车零部件制造产业园建设项目、扶沟县先进制造业开发区数字化转型促进中心、扶沟县开发区缸盖缸体产业园建设项目、扶沟县汽车轮毂产业园、扶沟县循环经济产业集聚区储能电池产业园项目。</w:t>
            </w:r>
          </w:p>
          <w:p w14:paraId="271B24EA">
            <w:pPr>
              <w:keepNext w:val="0"/>
              <w:keepLines w:val="0"/>
              <w:pageBreakBefore w:val="0"/>
              <w:widowControl w:val="0"/>
              <w:suppressLineNumbers w:val="0"/>
              <w:kinsoku/>
              <w:wordWrap/>
              <w:overflowPunct/>
              <w:topLinePunct w:val="0"/>
              <w:autoSpaceDE/>
              <w:autoSpaceDN/>
              <w:bidi w:val="0"/>
              <w:adjustRightInd w:val="0"/>
              <w:snapToGrid w:val="0"/>
              <w:spacing w:beforeAutospacing="0" w:afterAutospacing="0" w:line="400" w:lineRule="exact"/>
              <w:ind w:left="0" w:right="0" w:firstLine="562" w:firstLineChars="200"/>
              <w:jc w:val="both"/>
              <w:textAlignment w:val="auto"/>
              <w:rPr>
                <w:rFonts w:hint="eastAsia"/>
                <w:lang w:val="en-US" w:eastAsia="zh-CN"/>
              </w:rPr>
            </w:pPr>
            <w:r>
              <w:rPr>
                <w:rFonts w:hint="eastAsia" w:ascii="Times New Roman" w:hAnsi="Times New Roman" w:eastAsia="仿宋_GB2312" w:cs="Times New Roman"/>
                <w:b/>
                <w:bCs/>
                <w:color w:val="auto"/>
                <w:kern w:val="2"/>
                <w:sz w:val="28"/>
                <w:szCs w:val="28"/>
                <w:highlight w:val="none"/>
                <w:u w:val="none"/>
                <w:lang w:val="en-US" w:eastAsia="zh-CN" w:bidi="ar-SA"/>
              </w:rPr>
              <w:t>纺织服装：重点实施</w:t>
            </w:r>
            <w:r>
              <w:rPr>
                <w:rFonts w:hint="eastAsia" w:ascii="Times New Roman" w:hAnsi="Times New Roman" w:eastAsia="仿宋_GB2312" w:cs="Times New Roman"/>
                <w:b w:val="0"/>
                <w:bCs w:val="0"/>
                <w:color w:val="auto"/>
                <w:kern w:val="2"/>
                <w:sz w:val="28"/>
                <w:szCs w:val="28"/>
                <w:highlight w:val="none"/>
                <w:u w:val="none"/>
                <w:lang w:val="en-US" w:eastAsia="zh-CN" w:bidi="ar-SA"/>
              </w:rPr>
              <w:t>纺织服装印染全产业链生态园项目、扶沟县开发区纺织产业园基础设施建设项目、扶沟县纺织科技产业园建设项目。</w:t>
            </w:r>
          </w:p>
        </w:tc>
      </w:tr>
    </w:tbl>
    <w:p w14:paraId="2354EEBC">
      <w:pPr>
        <w:keepNext w:val="0"/>
        <w:keepLines w:val="0"/>
        <w:pageBreakBefore w:val="0"/>
        <w:widowControl w:val="0"/>
        <w:kinsoku/>
        <w:wordWrap/>
        <w:overflowPunct/>
        <w:topLinePunct w:val="0"/>
        <w:autoSpaceDE/>
        <w:autoSpaceDN/>
        <w:bidi w:val="0"/>
        <w:adjustRightInd w:val="0"/>
        <w:snapToGrid w:val="0"/>
        <w:spacing w:before="361" w:beforeLines="100" w:line="560" w:lineRule="exact"/>
        <w:ind w:firstLine="643" w:firstLineChars="200"/>
        <w:textAlignment w:val="auto"/>
        <w:outlineLvl w:val="3"/>
        <w:rPr>
          <w:rFonts w:hint="eastAsia" w:ascii="楷体_GB2312" w:hAnsi="楷体_GB2312" w:eastAsia="楷体_GB2312" w:cs="楷体_GB2312"/>
          <w:b/>
          <w:bCs/>
          <w:color w:val="auto"/>
          <w:kern w:val="2"/>
          <w:sz w:val="32"/>
          <w:szCs w:val="32"/>
          <w:u w:val="none"/>
          <w:lang w:val="en-US" w:eastAsia="zh-CN" w:bidi="ar-SA"/>
        </w:rPr>
      </w:pPr>
      <w:r>
        <w:rPr>
          <w:rFonts w:hint="eastAsia" w:ascii="楷体_GB2312" w:hAnsi="楷体_GB2312" w:eastAsia="楷体_GB2312" w:cs="楷体_GB2312"/>
          <w:b/>
          <w:bCs/>
          <w:color w:val="auto"/>
          <w:kern w:val="2"/>
          <w:sz w:val="32"/>
          <w:szCs w:val="32"/>
          <w:u w:val="none"/>
          <w:lang w:val="en-US" w:eastAsia="zh-CN" w:bidi="ar-SA"/>
        </w:rPr>
        <w:t>（二）抢占新兴产业赛道</w:t>
      </w:r>
    </w:p>
    <w:p w14:paraId="4E99F70F">
      <w:pPr>
        <w:pageBreakBefore w:val="0"/>
        <w:kinsoku/>
        <w:wordWrap/>
        <w:overflowPunct/>
        <w:topLinePunct w:val="0"/>
        <w:autoSpaceDE/>
        <w:bidi w:val="0"/>
        <w:adjustRightInd w:val="0"/>
        <w:snapToGrid w:val="0"/>
        <w:spacing w:line="560" w:lineRule="exact"/>
        <w:ind w:firstLine="640" w:firstLineChars="200"/>
        <w:textAlignment w:val="auto"/>
        <w:rPr>
          <w:rFonts w:hint="eastAsia" w:ascii="仿宋_GB2312" w:hAnsi="仿宋_GB2312" w:eastAsia="仿宋_GB2312" w:cs="仿宋_GB2312"/>
          <w:color w:val="auto"/>
          <w:kern w:val="2"/>
          <w:sz w:val="32"/>
          <w:szCs w:val="21"/>
          <w:u w:val="none"/>
          <w:lang w:val="en-US" w:eastAsia="zh-CN" w:bidi="ar-SA"/>
        </w:rPr>
      </w:pPr>
      <w:r>
        <w:rPr>
          <w:rFonts w:hint="eastAsia" w:ascii="仿宋_GB2312" w:hAnsi="仿宋_GB2312" w:eastAsia="仿宋_GB2312" w:cs="仿宋_GB2312"/>
          <w:color w:val="auto"/>
          <w:kern w:val="2"/>
          <w:sz w:val="32"/>
          <w:szCs w:val="21"/>
          <w:u w:val="none"/>
          <w:lang w:val="en-US" w:eastAsia="zh-CN" w:bidi="ar-SA"/>
        </w:rPr>
        <w:t>选择节能环保、新能源、新材料、数字经济等新兴产业，通过政策扶持、场景培育、生态构建，突破关键技术与市场瓶颈，打造产业增长新引擎。</w:t>
      </w:r>
    </w:p>
    <w:p w14:paraId="267307EE">
      <w:pPr>
        <w:pageBreakBefore w:val="0"/>
        <w:kinsoku/>
        <w:wordWrap/>
        <w:overflowPunct/>
        <w:topLinePunct w:val="0"/>
        <w:autoSpaceDE/>
        <w:bidi w:val="0"/>
        <w:adjustRightInd w:val="0"/>
        <w:snapToGrid w:val="0"/>
        <w:spacing w:line="560" w:lineRule="exact"/>
        <w:ind w:firstLine="643" w:firstLineChars="200"/>
        <w:textAlignment w:val="auto"/>
        <w:rPr>
          <w:rFonts w:hint="eastAsia" w:ascii="仿宋_GB2312" w:hAnsi="仿宋_GB2312" w:eastAsia="仿宋_GB2312" w:cs="仿宋_GB2312"/>
          <w:color w:val="auto"/>
          <w:kern w:val="2"/>
          <w:sz w:val="32"/>
          <w:szCs w:val="21"/>
          <w:u w:val="none"/>
          <w:lang w:val="en-US" w:eastAsia="zh-CN" w:bidi="ar-SA"/>
        </w:rPr>
      </w:pPr>
      <w:r>
        <w:rPr>
          <w:rFonts w:hint="eastAsia" w:ascii="楷体_GB2312" w:hAnsi="楷体_GB2312" w:eastAsia="楷体_GB2312" w:cs="楷体_GB2312"/>
          <w:b/>
          <w:bCs/>
          <w:color w:val="auto"/>
          <w:kern w:val="2"/>
          <w:sz w:val="32"/>
          <w:szCs w:val="32"/>
          <w:u w:val="none"/>
          <w:lang w:val="en-US" w:eastAsia="zh-CN" w:bidi="ar-SA"/>
        </w:rPr>
        <w:t>节能环保产业。</w:t>
      </w:r>
      <w:r>
        <w:rPr>
          <w:rFonts w:hint="eastAsia" w:ascii="仿宋_GB2312" w:hAnsi="仿宋_GB2312" w:eastAsia="仿宋_GB2312" w:cs="仿宋_GB2312"/>
          <w:color w:val="auto"/>
          <w:kern w:val="2"/>
          <w:sz w:val="32"/>
          <w:szCs w:val="21"/>
          <w:u w:val="none"/>
          <w:lang w:val="en-US" w:eastAsia="zh-CN" w:bidi="ar-SA"/>
        </w:rPr>
        <w:t>围绕国家“碳达峰、碳中和”战略，立足扶沟县纺织印染、装备制造、蔬菜种植产业的环保需求，重点发展环保装备制造与资源循环利用两大业态，目标到2030年，环保装备制造板块实现产值15亿元，资源循环利用板块实现产值25亿元，节能环保产业总规模突破40亿元，带动就业1200人。扶沟县现有工业企业（如中垣环保印染）年产生工业废水约800万吨，蔬菜种植年产生秸秆约50万吨。重点引进江苏鹏鹞环保、广东威立雅等企业，在先进制造业开发区建设环保装备生产基地，开发一体化污水处理设备、VOCs治理设备，计划2030年前建成2条生产线，可满足县域80%工业企业的环保装备需求；开发蔬菜秸秆粉碎还田机、有机肥生产设备，将蔬菜秸秆资源化利用率从当前30%提升至60%，减少农业面源污染。以循环经济产业园为核心载体，整合各类废弃物处理项目，构建“分类收集—集中处理—资源再生”闭环体系。在帛亭街道办扩建日处理500吨生活垃圾焚烧发电厂，配套建设2.5万千瓦汽轮发电机组，投产后年处理生活垃圾18万吨，发电6600万千瓦时，可满足县城15%的居民用电需求，减少填埋占地120亩；建设日处理100吨餐厨垃圾处理厂，采用“预处理+厌氧发酵”工艺，年产沼气180万立方米、有机肥2万吨，投产后实现县城餐厨垃圾100%无害化处理；在扶亭街道建设年处理50万吨建筑垃圾生产线，将废弃混凝土、砖瓦转化为再生骨料、透水砖，投产后可减少建筑垃圾填埋量40万吨/年，为城市更新提供低成本建材。</w:t>
      </w:r>
    </w:p>
    <w:p w14:paraId="04D68D45">
      <w:pPr>
        <w:pageBreakBefore w:val="0"/>
        <w:kinsoku/>
        <w:wordWrap/>
        <w:overflowPunct/>
        <w:topLinePunct w:val="0"/>
        <w:autoSpaceDE/>
        <w:bidi w:val="0"/>
        <w:adjustRightInd w:val="0"/>
        <w:snapToGrid w:val="0"/>
        <w:spacing w:line="560" w:lineRule="exact"/>
        <w:ind w:firstLine="643" w:firstLineChars="200"/>
        <w:textAlignment w:val="auto"/>
        <w:rPr>
          <w:rFonts w:hint="eastAsia" w:ascii="仿宋_GB2312" w:hAnsi="仿宋_GB2312" w:eastAsia="仿宋_GB2312" w:cs="仿宋_GB2312"/>
          <w:color w:val="auto"/>
          <w:kern w:val="2"/>
          <w:sz w:val="32"/>
          <w:szCs w:val="21"/>
          <w:u w:val="none"/>
          <w:lang w:val="en-US" w:eastAsia="zh-CN" w:bidi="ar-SA"/>
        </w:rPr>
      </w:pPr>
      <w:r>
        <w:rPr>
          <w:rFonts w:hint="eastAsia" w:ascii="仿宋_GB2312" w:hAnsi="仿宋_GB2312" w:eastAsia="仿宋_GB2312" w:cs="仿宋_GB2312"/>
          <w:b/>
          <w:bCs/>
          <w:color w:val="auto"/>
          <w:kern w:val="2"/>
          <w:sz w:val="32"/>
          <w:szCs w:val="21"/>
          <w:u w:val="none"/>
          <w:lang w:val="en-US" w:eastAsia="zh-CN" w:bidi="ar-SA"/>
        </w:rPr>
        <w:t>新能源产业。</w:t>
      </w:r>
      <w:r>
        <w:rPr>
          <w:rFonts w:hint="eastAsia" w:ascii="仿宋_GB2312" w:hAnsi="仿宋_GB2312" w:eastAsia="仿宋_GB2312" w:cs="仿宋_GB2312"/>
          <w:color w:val="auto"/>
          <w:kern w:val="2"/>
          <w:sz w:val="32"/>
          <w:szCs w:val="21"/>
          <w:u w:val="none"/>
          <w:lang w:val="en-US" w:eastAsia="zh-CN" w:bidi="ar-SA"/>
        </w:rPr>
        <w:t>聚焦分布式光伏、新型储能、新能源汽车配套三大领域，依托县先进制造业开发区、高铁新区等载体，推动新能源与蔬菜特色产业、纺织服装、装备制造等传统产业深度融合，构建“生产-储存-应用”全链条体系，目标到2030年，新能源产业产值突破45亿元。推进扶沟县先进制造业开发区新能源产业园建设，实施东旭固态岩板电池、源网荷储一体化等项目，着力招引全固态电池、规模化新型电能储存等科技型企业。支持东辰纺织、昌茂纺织、洋森印染等工业企业及蔬菜种植园区建设分布式光伏项目，利用厂房屋顶、蔬菜大棚棚顶等空间资源，预计年发电量1亿度，满足企业25%的用电需求，年减少碳排放7.2万吨；以国能扶沟生物质电厂为基础，延伸生物质能产业链，实现“农业废弃物—能源—有机肥”循环利用。依托京东智慧物流港（已规划新能源物流车辆专用区域，计划引入新能源物流车300辆）、嘉乐华汽车内饰产业园（配套建设新能源汽车零部件仓储配送中心）等项目，打造“新能源汽车零部件研发-生产-物流-售后”服务链；重点招引新能源汽车电子元器件、充电桩制造企业，推动金泰金属、维俏科技等现有汽车零部件企业向新能源领域转型。计划到2030年，引入新能源汽车配套企业8家以上，新能源汽车相关产业产值突破30亿元，在城区公共停车场、居民社区、乡镇政府驻地布局充电桩，实现充电桩覆盖全区75%以上社区及90%以上乡镇。</w:t>
      </w:r>
    </w:p>
    <w:p w14:paraId="50E4463B">
      <w:pPr>
        <w:pageBreakBefore w:val="0"/>
        <w:kinsoku/>
        <w:wordWrap/>
        <w:overflowPunct/>
        <w:topLinePunct w:val="0"/>
        <w:autoSpaceDE/>
        <w:bidi w:val="0"/>
        <w:adjustRightInd w:val="0"/>
        <w:snapToGrid w:val="0"/>
        <w:spacing w:line="560" w:lineRule="exact"/>
        <w:ind w:firstLine="643" w:firstLineChars="200"/>
        <w:textAlignment w:val="auto"/>
        <w:rPr>
          <w:rFonts w:hint="eastAsia" w:ascii="仿宋_GB2312" w:hAnsi="仿宋_GB2312" w:eastAsia="仿宋_GB2312" w:cs="仿宋_GB2312"/>
          <w:color w:val="auto"/>
          <w:kern w:val="2"/>
          <w:sz w:val="32"/>
          <w:szCs w:val="21"/>
          <w:u w:val="none"/>
          <w:lang w:val="en-US" w:eastAsia="zh-CN" w:bidi="ar-SA"/>
        </w:rPr>
      </w:pPr>
      <w:r>
        <w:rPr>
          <w:rFonts w:hint="eastAsia" w:ascii="仿宋_GB2312" w:hAnsi="仿宋_GB2312" w:eastAsia="仿宋_GB2312" w:cs="仿宋_GB2312"/>
          <w:b/>
          <w:bCs/>
          <w:color w:val="auto"/>
          <w:kern w:val="2"/>
          <w:sz w:val="32"/>
          <w:szCs w:val="21"/>
          <w:u w:val="none"/>
          <w:lang w:val="en-US" w:eastAsia="zh-CN" w:bidi="ar-SA"/>
        </w:rPr>
        <w:t>新材料产业。</w:t>
      </w:r>
      <w:r>
        <w:rPr>
          <w:rFonts w:hint="eastAsia" w:ascii="仿宋_GB2312" w:hAnsi="仿宋_GB2312" w:eastAsia="仿宋_GB2312" w:cs="仿宋_GB2312"/>
          <w:color w:val="auto"/>
          <w:kern w:val="2"/>
          <w:sz w:val="32"/>
          <w:szCs w:val="21"/>
          <w:u w:val="none"/>
          <w:lang w:val="en-US" w:eastAsia="zh-CN" w:bidi="ar-SA"/>
        </w:rPr>
        <w:t>重点突破高端金属材料、纺织新材料、环保新材料三大方向，推动传统产业向“新材料+”转型，培育具有区域竞争力的新材料产业集群。目标2030年新材料产业总规模突破100亿元，带动全县纺织、装备制造等产业附加值平均提升15个百分点。支持周口金泰金属建设新能源汽车铝合金零部件实验室，开发厚度公差±0.05mm的高精度铝合金板材，用于新能源汽车电池托盘、电机壳，“十五五”期间实现量产，产品良率从当前92%提升至98%，供货比亚迪的份额从10%提升至20%；开发轻量化铝合金外壳材料，供应郑州航空港区电子企业（如富士康），“十五五”期间实现产值5亿元，推动金属新材料从“汽车领域”向“电子领域”延伸；在开发区规划建设高端金属材料产业园，“十五五”期间引进5家铝合金加工、热处理配套企业，形成“铝锭-型材-零部件-回收”完整产业链，目标年产值突破80亿元，带动就业2000人。支持现有纺织企业研发功能性、绿色化纺织材料，提升产品市场竞争力。以中垣环保、嘉辉纺织为依托，投入1.5亿元建设省级纺织新材料工程技术研究中心，重点研发阻燃布、抗菌面料、吸湿排汗面料，计划应用于医用防护服生产，拓展高端市场；在中垣环保产业园建设碳纤维复合材料生产线，开发用于高端运动服装、汽车内饰的碳纤维面料，投用后年产能500吨，产值突破3亿元，填补豫东地区碳纤维应用空白。支持河南中泽新材料扩大阻燃聚丙烯管材产能，用于市政排水、污水处理工程，“十五五”期间拓展郑州、许昌等周边城市市场，市场占有率提升至15%。招引1家生物降解塑料企业，投资2亿元建设PBAT/PLA可降解材料生产线，主要生产可降解农膜、蔬菜保鲜袋。针对扶沟蔬菜产业需求，开发厚度0.012mm的可降解农膜，2027年前实现主要蔬菜产区覆盖率超50%，减少白色污染；同时，与安冠蔬菜、厨伴娘等企业合作，开发可降解蔬菜包装，提升产品附加值。</w:t>
      </w:r>
    </w:p>
    <w:p w14:paraId="4B77D376">
      <w:pPr>
        <w:keepNext w:val="0"/>
        <w:keepLines w:val="0"/>
        <w:pageBreakBefore w:val="0"/>
        <w:widowControl w:val="0"/>
        <w:kinsoku/>
        <w:wordWrap/>
        <w:overflowPunct/>
        <w:topLinePunct w:val="0"/>
        <w:autoSpaceDE/>
        <w:autoSpaceDN/>
        <w:bidi w:val="0"/>
        <w:adjustRightInd w:val="0"/>
        <w:snapToGrid w:val="0"/>
        <w:spacing w:after="721" w:afterLines="200" w:line="560" w:lineRule="exact"/>
        <w:ind w:firstLine="643" w:firstLineChars="200"/>
        <w:textAlignment w:val="auto"/>
        <w:rPr>
          <w:rFonts w:hint="default" w:ascii="仿宋_GB2312" w:hAnsi="仿宋_GB2312" w:eastAsia="仿宋_GB2312" w:cs="仿宋_GB2312"/>
          <w:color w:val="auto"/>
          <w:kern w:val="2"/>
          <w:sz w:val="32"/>
          <w:szCs w:val="21"/>
          <w:u w:val="none"/>
          <w:lang w:val="en-US" w:eastAsia="zh-CN" w:bidi="ar-SA"/>
        </w:rPr>
      </w:pPr>
      <w:r>
        <w:rPr>
          <w:rFonts w:hint="eastAsia" w:ascii="仿宋_GB2312" w:hAnsi="仿宋_GB2312" w:eastAsia="仿宋_GB2312" w:cs="仿宋_GB2312"/>
          <w:b/>
          <w:bCs/>
          <w:color w:val="auto"/>
          <w:kern w:val="2"/>
          <w:sz w:val="32"/>
          <w:szCs w:val="21"/>
          <w:u w:val="none"/>
          <w:lang w:val="en-US" w:eastAsia="zh-CN" w:bidi="ar-SA"/>
        </w:rPr>
        <w:t>数字经济。</w:t>
      </w:r>
      <w:r>
        <w:rPr>
          <w:rFonts w:hint="eastAsia" w:ascii="仿宋_GB2312" w:hAnsi="仿宋_GB2312" w:eastAsia="仿宋_GB2312" w:cs="仿宋_GB2312"/>
          <w:color w:val="auto"/>
          <w:kern w:val="2"/>
          <w:sz w:val="32"/>
          <w:szCs w:val="21"/>
          <w:u w:val="none"/>
          <w:lang w:val="en-US" w:eastAsia="zh-CN" w:bidi="ar-SA"/>
        </w:rPr>
        <w:t>推动数字技术与农业、工业、服务业深度融合，建设“数字扶沟”，通过“平台建设+场景应用+主体培育”，成为产业转型升级的“核心引擎”，目标2030年数字经济核心产业增加值占GDP比重突破8%，争创“河南省数字乡村示范县”。“十五五”期间搭建“扶沟工业互联网平台”，涵盖“设备联网、生产监控、能耗管理、质量追溯”四大功能模块，免费为企业提供基础服务，收费提供增值服务（如数据分析、智能排产）；推动龙头企业（如河南奥兰船舶、昌茂纺织）实现设备联网，“十五五”期间规上工业企业设备联网率从30%提升至70%，生产效率平均提升15%，不良品率平均下降8%；在装备制造企业推广“智能车间”，在纺织服装企业推广“数字印染”，目标2030年打造10个省级数字化转型标杆企业。以“扶沟蔬菜”区域公共品牌为核心，搭建“扶沟蔬菜数字平台”，整合“种苗研发—种植监测—加工销售”数据，消费者扫码可查看蔬菜的种植地块、施肥记录、农残检测报告，实现“从田间到餐桌”全溯源；在全县高标准蔬菜大棚安装物联网设备（温湿度传感器、光照传感器、智能水肥机），通过手机APP远程调控，“十五五”期间实现数字大棚覆盖率从当前10%提升至40%，蔬菜亩均产量提升10%，水肥利用率提升20%；整合新型经营主体、加工企业资源，为采购商提供“一站式采购”服务，目标2030年线上交易额突破8亿元，占蔬菜总销售额的25%。支持电商直播、智慧物流等新业态发展，建设县域电商直播基地，培育一批电商村和电商人才。“十五五”期间实现主要农产品电商渗透率超60%；升级“扶沟智慧物流平台”，整合快递、货运资源，2025年前实现乡镇快递网点全覆盖，农村快递时效从3天缩短至1.5天。</w:t>
      </w:r>
    </w:p>
    <w:tbl>
      <w:tblPr>
        <w:tblStyle w:val="2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74"/>
      </w:tblGrid>
      <w:tr w14:paraId="219572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jc w:val="center"/>
        </w:trPr>
        <w:tc>
          <w:tcPr>
            <w:tcW w:w="8674" w:type="dxa"/>
            <w:noWrap w:val="0"/>
            <w:vAlign w:val="center"/>
          </w:tcPr>
          <w:p w14:paraId="2B70DBA7">
            <w:pPr>
              <w:keepNext w:val="0"/>
              <w:keepLines w:val="0"/>
              <w:pageBreakBefore w:val="0"/>
              <w:widowControl w:val="0"/>
              <w:suppressLineNumbers w:val="0"/>
              <w:kinsoku/>
              <w:wordWrap/>
              <w:overflowPunct/>
              <w:topLinePunct w:val="0"/>
              <w:autoSpaceDE/>
              <w:autoSpaceDN/>
              <w:bidi w:val="0"/>
              <w:adjustRightInd w:val="0"/>
              <w:snapToGrid w:val="0"/>
              <w:spacing w:beforeAutospacing="0" w:afterAutospacing="0" w:line="400" w:lineRule="exact"/>
              <w:ind w:left="0" w:right="0" w:firstLine="0" w:firstLineChars="0"/>
              <w:jc w:val="center"/>
              <w:textAlignment w:val="auto"/>
              <w:rPr>
                <w:rFonts w:hint="default" w:ascii="Times New Roman" w:hAnsi="Times New Roman" w:eastAsia="仿宋" w:cs="Times New Roman"/>
                <w:color w:val="auto"/>
                <w:sz w:val="28"/>
                <w:szCs w:val="28"/>
                <w:highlight w:val="none"/>
                <w:u w:val="none"/>
                <w:shd w:val="clear" w:color="auto" w:fill="FFFFFF"/>
              </w:rPr>
            </w:pPr>
            <w:r>
              <w:rPr>
                <w:rFonts w:hint="eastAsia" w:ascii="楷体_GB2312" w:hAnsi="楷体_GB2312" w:eastAsia="楷体_GB2312" w:cs="楷体_GB2312"/>
                <w:b/>
                <w:bCs w:val="0"/>
                <w:color w:val="auto"/>
                <w:sz w:val="28"/>
                <w:szCs w:val="28"/>
                <w:highlight w:val="none"/>
                <w:u w:val="none"/>
                <w:shd w:val="clear" w:color="auto" w:fill="FFFFFF"/>
              </w:rPr>
              <w:t>专栏</w:t>
            </w:r>
            <w:r>
              <w:rPr>
                <w:rFonts w:hint="eastAsia" w:ascii="楷体_GB2312" w:hAnsi="楷体_GB2312" w:eastAsia="楷体_GB2312" w:cs="楷体_GB2312"/>
                <w:b/>
                <w:bCs w:val="0"/>
                <w:color w:val="auto"/>
                <w:sz w:val="28"/>
                <w:szCs w:val="28"/>
                <w:highlight w:val="none"/>
                <w:u w:val="none"/>
                <w:shd w:val="clear" w:color="auto" w:fill="FFFFFF"/>
                <w:lang w:val="en-US" w:eastAsia="zh-CN"/>
              </w:rPr>
              <w:t>3-3</w:t>
            </w:r>
            <w:r>
              <w:rPr>
                <w:rFonts w:hint="eastAsia" w:ascii="楷体_GB2312" w:hAnsi="楷体_GB2312" w:eastAsia="楷体_GB2312" w:cs="楷体_GB2312"/>
                <w:b/>
                <w:bCs w:val="0"/>
                <w:color w:val="auto"/>
                <w:sz w:val="28"/>
                <w:szCs w:val="28"/>
                <w:highlight w:val="none"/>
                <w:u w:val="none"/>
                <w:shd w:val="clear" w:color="auto" w:fill="FFFFFF"/>
              </w:rPr>
              <w:t>：“十</w:t>
            </w:r>
            <w:r>
              <w:rPr>
                <w:rFonts w:hint="eastAsia" w:ascii="楷体_GB2312" w:hAnsi="楷体_GB2312" w:eastAsia="楷体_GB2312" w:cs="楷体_GB2312"/>
                <w:b/>
                <w:bCs w:val="0"/>
                <w:color w:val="auto"/>
                <w:sz w:val="28"/>
                <w:szCs w:val="28"/>
                <w:highlight w:val="none"/>
                <w:u w:val="none"/>
                <w:shd w:val="clear" w:color="auto" w:fill="FFFFFF"/>
                <w:lang w:val="en-US" w:eastAsia="zh-CN"/>
              </w:rPr>
              <w:t>五</w:t>
            </w:r>
            <w:r>
              <w:rPr>
                <w:rFonts w:hint="eastAsia" w:ascii="楷体_GB2312" w:hAnsi="楷体_GB2312" w:eastAsia="楷体_GB2312" w:cs="楷体_GB2312"/>
                <w:b/>
                <w:bCs w:val="0"/>
                <w:color w:val="auto"/>
                <w:sz w:val="28"/>
                <w:szCs w:val="28"/>
                <w:highlight w:val="none"/>
                <w:u w:val="none"/>
                <w:shd w:val="clear" w:color="auto" w:fill="FFFFFF"/>
              </w:rPr>
              <w:t>五”</w:t>
            </w:r>
            <w:r>
              <w:rPr>
                <w:rFonts w:hint="eastAsia" w:ascii="楷体_GB2312" w:hAnsi="楷体_GB2312" w:eastAsia="楷体_GB2312" w:cs="楷体_GB2312"/>
                <w:b/>
                <w:bCs w:val="0"/>
                <w:color w:val="auto"/>
                <w:sz w:val="28"/>
                <w:szCs w:val="28"/>
                <w:highlight w:val="none"/>
                <w:u w:val="none"/>
                <w:shd w:val="clear" w:color="auto" w:fill="FFFFFF"/>
                <w:lang w:val="en-US" w:eastAsia="zh-CN"/>
              </w:rPr>
              <w:t>期间新兴</w:t>
            </w:r>
            <w:r>
              <w:rPr>
                <w:rFonts w:hint="default" w:ascii="楷体_GB2312" w:hAnsi="楷体_GB2312" w:eastAsia="楷体_GB2312" w:cs="楷体_GB2312"/>
                <w:b/>
                <w:bCs w:val="0"/>
                <w:color w:val="auto"/>
                <w:sz w:val="28"/>
                <w:szCs w:val="28"/>
                <w:highlight w:val="none"/>
                <w:u w:val="none"/>
                <w:shd w:val="clear" w:color="auto" w:fill="FFFFFF"/>
                <w:lang w:val="en-US" w:eastAsia="zh-CN"/>
              </w:rPr>
              <w:t>产业</w:t>
            </w:r>
            <w:r>
              <w:rPr>
                <w:rFonts w:hint="eastAsia" w:ascii="楷体_GB2312" w:hAnsi="楷体_GB2312" w:eastAsia="楷体_GB2312" w:cs="楷体_GB2312"/>
                <w:b/>
                <w:bCs w:val="0"/>
                <w:color w:val="auto"/>
                <w:sz w:val="28"/>
                <w:szCs w:val="28"/>
                <w:highlight w:val="none"/>
                <w:u w:val="none"/>
                <w:shd w:val="clear" w:color="auto" w:fill="FFFFFF"/>
              </w:rPr>
              <w:t>重点项目</w:t>
            </w:r>
          </w:p>
        </w:tc>
      </w:tr>
      <w:tr w14:paraId="46CF9D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jc w:val="center"/>
        </w:trPr>
        <w:tc>
          <w:tcPr>
            <w:tcW w:w="8674" w:type="dxa"/>
            <w:noWrap w:val="0"/>
            <w:vAlign w:val="center"/>
          </w:tcPr>
          <w:p w14:paraId="6171F244">
            <w:pPr>
              <w:keepNext w:val="0"/>
              <w:keepLines w:val="0"/>
              <w:pageBreakBefore w:val="0"/>
              <w:widowControl w:val="0"/>
              <w:suppressLineNumbers w:val="0"/>
              <w:kinsoku/>
              <w:wordWrap/>
              <w:overflowPunct/>
              <w:topLinePunct w:val="0"/>
              <w:autoSpaceDE/>
              <w:autoSpaceDN/>
              <w:bidi w:val="0"/>
              <w:adjustRightInd w:val="0"/>
              <w:snapToGrid w:val="0"/>
              <w:spacing w:beforeAutospacing="0" w:afterAutospacing="0" w:line="400" w:lineRule="exact"/>
              <w:ind w:left="0" w:right="0" w:firstLine="562" w:firstLineChars="200"/>
              <w:jc w:val="both"/>
              <w:textAlignment w:val="auto"/>
              <w:rPr>
                <w:rFonts w:hint="default" w:ascii="Times New Roman" w:hAnsi="Times New Roman" w:eastAsia="仿宋_GB2312" w:cs="Times New Roman"/>
                <w:b w:val="0"/>
                <w:bCs w:val="0"/>
                <w:color w:val="auto"/>
                <w:kern w:val="2"/>
                <w:sz w:val="28"/>
                <w:szCs w:val="28"/>
                <w:highlight w:val="none"/>
                <w:u w:val="none"/>
                <w:lang w:val="en-US" w:eastAsia="zh-CN" w:bidi="ar-SA"/>
              </w:rPr>
            </w:pPr>
            <w:r>
              <w:rPr>
                <w:rFonts w:hint="eastAsia" w:ascii="Times New Roman" w:hAnsi="Times New Roman" w:eastAsia="仿宋_GB2312" w:cs="Times New Roman"/>
                <w:b/>
                <w:bCs/>
                <w:color w:val="auto"/>
                <w:kern w:val="2"/>
                <w:sz w:val="28"/>
                <w:szCs w:val="28"/>
                <w:highlight w:val="none"/>
                <w:u w:val="none"/>
                <w:lang w:val="en-US" w:eastAsia="zh-CN" w:bidi="ar-SA"/>
              </w:rPr>
              <w:t>节能环保：重点实施</w:t>
            </w:r>
            <w:r>
              <w:rPr>
                <w:rFonts w:hint="eastAsia" w:ascii="Times New Roman" w:hAnsi="Times New Roman" w:eastAsia="仿宋_GB2312" w:cs="Times New Roman"/>
                <w:b w:val="0"/>
                <w:bCs w:val="0"/>
                <w:color w:val="auto"/>
                <w:kern w:val="2"/>
                <w:sz w:val="28"/>
                <w:szCs w:val="28"/>
                <w:highlight w:val="none"/>
                <w:u w:val="none"/>
                <w:lang w:val="en-US" w:eastAsia="zh-CN" w:bidi="ar-SA"/>
              </w:rPr>
              <w:t>扶沟县第二污水处理厂改扩建项目扶沟县污水厂中水回用建设项目扶沟县城区建筑垃圾资源化利用项目扶沟县垃圾分类和综合治理项目扶沟县污泥及垃圾飞灰处置项目扶沟县城区污水管网改造项目扶沟县开发区雨污水管网提升改造项目扶沟县先进制造业开发区3万吨污水处理项目扶沟县开发区污水处理厂扩建及中水管网建设项目、扶沟县粪污集中处理中心项目、</w:t>
            </w:r>
            <w:r>
              <w:rPr>
                <w:rFonts w:hint="eastAsia" w:ascii="Times New Roman" w:hAnsi="Times New Roman" w:eastAsia="仿宋_GB2312" w:cs="Times New Roman"/>
                <w:color w:val="auto"/>
                <w:kern w:val="2"/>
                <w:sz w:val="28"/>
                <w:szCs w:val="28"/>
                <w:highlight w:val="none"/>
                <w:u w:val="none"/>
                <w:lang w:val="en-US" w:eastAsia="zh-CN" w:bidi="ar-SA"/>
              </w:rPr>
              <w:t>扶沟县生物质沼气综合利用项目</w:t>
            </w:r>
            <w:r>
              <w:rPr>
                <w:rFonts w:hint="eastAsia" w:ascii="Times New Roman" w:hAnsi="Times New Roman" w:eastAsia="仿宋_GB2312" w:cs="Times New Roman"/>
                <w:b w:val="0"/>
                <w:bCs w:val="0"/>
                <w:color w:val="auto"/>
                <w:kern w:val="2"/>
                <w:sz w:val="28"/>
                <w:szCs w:val="28"/>
                <w:highlight w:val="none"/>
                <w:u w:val="none"/>
                <w:lang w:val="en-US" w:eastAsia="zh-CN" w:bidi="ar-SA"/>
              </w:rPr>
              <w:t>。</w:t>
            </w:r>
          </w:p>
          <w:p w14:paraId="623C26DA">
            <w:pPr>
              <w:keepNext w:val="0"/>
              <w:keepLines w:val="0"/>
              <w:pageBreakBefore w:val="0"/>
              <w:widowControl w:val="0"/>
              <w:suppressLineNumbers w:val="0"/>
              <w:kinsoku/>
              <w:wordWrap/>
              <w:overflowPunct/>
              <w:topLinePunct w:val="0"/>
              <w:autoSpaceDE/>
              <w:autoSpaceDN/>
              <w:bidi w:val="0"/>
              <w:adjustRightInd w:val="0"/>
              <w:snapToGrid w:val="0"/>
              <w:spacing w:beforeAutospacing="0" w:afterAutospacing="0" w:line="400" w:lineRule="exact"/>
              <w:ind w:left="0" w:right="0" w:firstLine="562" w:firstLineChars="200"/>
              <w:jc w:val="both"/>
              <w:textAlignment w:val="auto"/>
              <w:rPr>
                <w:rFonts w:hint="eastAsia" w:ascii="Times New Roman" w:hAnsi="Times New Roman" w:eastAsia="仿宋_GB2312" w:cs="Times New Roman"/>
                <w:b w:val="0"/>
                <w:bCs w:val="0"/>
                <w:color w:val="auto"/>
                <w:kern w:val="2"/>
                <w:sz w:val="28"/>
                <w:szCs w:val="28"/>
                <w:highlight w:val="none"/>
                <w:u w:val="none"/>
                <w:lang w:val="en-US" w:eastAsia="zh-CN" w:bidi="ar-SA"/>
              </w:rPr>
            </w:pPr>
            <w:r>
              <w:rPr>
                <w:rFonts w:hint="eastAsia" w:ascii="Times New Roman" w:hAnsi="Times New Roman" w:eastAsia="仿宋_GB2312" w:cs="Times New Roman"/>
                <w:b/>
                <w:bCs/>
                <w:color w:val="auto"/>
                <w:kern w:val="2"/>
                <w:sz w:val="28"/>
                <w:szCs w:val="28"/>
                <w:highlight w:val="none"/>
                <w:u w:val="none"/>
                <w:lang w:val="en-US" w:eastAsia="zh-CN" w:bidi="ar-SA"/>
              </w:rPr>
              <w:t>新能源：重点实施</w:t>
            </w:r>
            <w:r>
              <w:rPr>
                <w:rFonts w:hint="eastAsia" w:ascii="Times New Roman" w:hAnsi="Times New Roman" w:eastAsia="仿宋_GB2312" w:cs="Times New Roman"/>
                <w:b w:val="0"/>
                <w:bCs w:val="0"/>
                <w:color w:val="auto"/>
                <w:kern w:val="2"/>
                <w:sz w:val="28"/>
                <w:szCs w:val="28"/>
                <w:highlight w:val="none"/>
                <w:u w:val="none"/>
                <w:lang w:val="en-US" w:eastAsia="zh-CN" w:bidi="ar-SA"/>
              </w:rPr>
              <w:t>扶沟县充换电站建设项目、扶沟县储气库储气提升建设项目、扶沟县200MW源网荷储一体化项目、扶沟县共享储能项目、扶沟县畜禽粪污及秸秆综合利用清洁能源项目、扶沟县农村坑塘渔光互补光伏开发项目、扶沟县千乡万村“驭风行动”项目、扶沟县工商业分布式光伏低碳转化项目、扶沟县生物质天然气田建设。</w:t>
            </w:r>
          </w:p>
          <w:p w14:paraId="0AD4612E">
            <w:pPr>
              <w:keepNext w:val="0"/>
              <w:keepLines w:val="0"/>
              <w:pageBreakBefore w:val="0"/>
              <w:widowControl w:val="0"/>
              <w:suppressLineNumbers w:val="0"/>
              <w:kinsoku/>
              <w:wordWrap/>
              <w:overflowPunct/>
              <w:topLinePunct w:val="0"/>
              <w:autoSpaceDE/>
              <w:autoSpaceDN/>
              <w:bidi w:val="0"/>
              <w:adjustRightInd w:val="0"/>
              <w:snapToGrid w:val="0"/>
              <w:spacing w:beforeAutospacing="0" w:afterAutospacing="0" w:line="400" w:lineRule="exact"/>
              <w:ind w:left="0" w:right="0" w:firstLine="562" w:firstLineChars="200"/>
              <w:jc w:val="both"/>
              <w:textAlignment w:val="auto"/>
              <w:rPr>
                <w:rFonts w:hint="default"/>
                <w:lang w:val="en-US" w:eastAsia="zh-CN"/>
              </w:rPr>
            </w:pPr>
            <w:r>
              <w:rPr>
                <w:rFonts w:hint="eastAsia" w:ascii="Times New Roman" w:hAnsi="Times New Roman" w:eastAsia="仿宋_GB2312" w:cs="Times New Roman"/>
                <w:b/>
                <w:bCs/>
                <w:color w:val="auto"/>
                <w:kern w:val="2"/>
                <w:sz w:val="28"/>
                <w:szCs w:val="28"/>
                <w:highlight w:val="none"/>
                <w:u w:val="none"/>
                <w:lang w:val="en-US" w:eastAsia="zh-CN" w:bidi="ar-SA"/>
              </w:rPr>
              <w:t>数字经济：重点实施</w:t>
            </w:r>
            <w:r>
              <w:rPr>
                <w:rFonts w:hint="eastAsia" w:ascii="Times New Roman" w:hAnsi="Times New Roman" w:eastAsia="仿宋_GB2312" w:cs="Times New Roman"/>
                <w:b w:val="0"/>
                <w:bCs w:val="0"/>
                <w:color w:val="auto"/>
                <w:kern w:val="2"/>
                <w:sz w:val="28"/>
                <w:szCs w:val="28"/>
                <w:highlight w:val="none"/>
                <w:u w:val="none"/>
                <w:lang w:val="en-US" w:eastAsia="zh-CN" w:bidi="ar-SA"/>
              </w:rPr>
              <w:t>扶沟县数字产业园、</w:t>
            </w:r>
            <w:r>
              <w:rPr>
                <w:rFonts w:hint="eastAsia" w:ascii="Times New Roman" w:hAnsi="Times New Roman" w:eastAsia="仿宋_GB2312" w:cs="Times New Roman"/>
                <w:color w:val="auto"/>
                <w:kern w:val="2"/>
                <w:sz w:val="28"/>
                <w:szCs w:val="28"/>
                <w:highlight w:val="none"/>
                <w:u w:val="none"/>
                <w:lang w:val="en-US" w:eastAsia="zh-CN" w:bidi="ar-SA"/>
              </w:rPr>
              <w:t>河南安冠智慧农业产业园，扶沟县数字化算力中心建设项目，扶沟县公安局智能监控、电子警察、人像识别系统建设项目，扶沟县5G+智慧城市建设项目。</w:t>
            </w:r>
          </w:p>
        </w:tc>
      </w:tr>
    </w:tbl>
    <w:p w14:paraId="56FA14D2">
      <w:pPr>
        <w:keepNext w:val="0"/>
        <w:keepLines w:val="0"/>
        <w:pageBreakBefore w:val="0"/>
        <w:widowControl w:val="0"/>
        <w:kinsoku/>
        <w:wordWrap/>
        <w:overflowPunct/>
        <w:topLinePunct w:val="0"/>
        <w:autoSpaceDE/>
        <w:autoSpaceDN/>
        <w:bidi w:val="0"/>
        <w:adjustRightInd w:val="0"/>
        <w:snapToGrid w:val="0"/>
        <w:spacing w:before="361" w:beforeLines="100" w:line="560" w:lineRule="exact"/>
        <w:ind w:firstLine="643" w:firstLineChars="200"/>
        <w:textAlignment w:val="auto"/>
        <w:outlineLvl w:val="3"/>
        <w:rPr>
          <w:rFonts w:hint="eastAsia" w:ascii="楷体_GB2312" w:hAnsi="楷体_GB2312" w:eastAsia="楷体_GB2312" w:cs="楷体_GB2312"/>
          <w:b/>
          <w:bCs/>
          <w:color w:val="auto"/>
          <w:kern w:val="2"/>
          <w:sz w:val="32"/>
          <w:szCs w:val="32"/>
          <w:u w:val="none"/>
          <w:lang w:val="en-US" w:eastAsia="zh-CN" w:bidi="ar-SA"/>
        </w:rPr>
      </w:pPr>
      <w:r>
        <w:rPr>
          <w:rFonts w:hint="eastAsia" w:ascii="楷体_GB2312" w:hAnsi="楷体_GB2312" w:eastAsia="楷体_GB2312" w:cs="楷体_GB2312"/>
          <w:b/>
          <w:bCs/>
          <w:color w:val="auto"/>
          <w:kern w:val="2"/>
          <w:sz w:val="32"/>
          <w:szCs w:val="32"/>
          <w:u w:val="none"/>
          <w:lang w:val="en-US" w:eastAsia="zh-CN" w:bidi="ar-SA"/>
        </w:rPr>
        <w:t>（三）前瞻布局未来产业</w:t>
      </w:r>
    </w:p>
    <w:p w14:paraId="1C1F9153">
      <w:pPr>
        <w:keepNext w:val="0"/>
        <w:keepLines w:val="0"/>
        <w:pageBreakBefore w:val="0"/>
        <w:widowControl w:val="0"/>
        <w:kinsoku/>
        <w:wordWrap/>
        <w:overflowPunct/>
        <w:topLinePunct w:val="0"/>
        <w:autoSpaceDE/>
        <w:autoSpaceDN/>
        <w:bidi w:val="0"/>
        <w:adjustRightInd w:val="0"/>
        <w:snapToGrid w:val="0"/>
        <w:spacing w:after="721" w:afterLines="200" w:line="560" w:lineRule="exact"/>
        <w:ind w:firstLine="640" w:firstLineChars="200"/>
        <w:textAlignment w:val="auto"/>
        <w:rPr>
          <w:rFonts w:hint="eastAsia" w:ascii="仿宋_GB2312" w:hAnsi="仿宋_GB2312" w:eastAsia="仿宋_GB2312" w:cs="仿宋_GB2312"/>
          <w:color w:val="auto"/>
          <w:kern w:val="2"/>
          <w:sz w:val="32"/>
          <w:szCs w:val="21"/>
          <w:u w:val="none"/>
          <w:lang w:val="en-US" w:eastAsia="zh-CN" w:bidi="ar-SA"/>
        </w:rPr>
      </w:pPr>
      <w:r>
        <w:rPr>
          <w:rFonts w:hint="eastAsia" w:ascii="仿宋_GB2312" w:hAnsi="仿宋_GB2312" w:eastAsia="仿宋_GB2312" w:cs="仿宋_GB2312"/>
          <w:color w:val="auto"/>
          <w:kern w:val="2"/>
          <w:sz w:val="32"/>
          <w:szCs w:val="21"/>
          <w:u w:val="none"/>
          <w:lang w:val="en-US" w:eastAsia="zh-CN" w:bidi="ar-SA"/>
        </w:rPr>
        <w:t>组织实施未来产业孵化与加速计划，超前布局未来制造（智能制造、生物制造、精密制造、工业互联网与物联网等）、未来材料（锂电[钠电]新能源材料、先进有色金属材料等）、未来能源（氢能与新型储能、生物质能、全链条绿色能源等）、低空经济等未来产业，加快建设未来产业先导区。加强前沿技术多路径探索、交叉融合和颠覆性技术供给，实施产业跨界融合示范工程，打造未来技术应用场景。建设未来产业（技术）研究院、未来技术学院、未来产业科技园等平台载体，未来产业领军人才（团队），涌现一批具有核心竞争力的关键技术、应用场景和重点企业，聚焦重点领域、关键产业实现从小到大、从无到有，成为扶沟县经济发展的重要驱动力量。</w:t>
      </w:r>
    </w:p>
    <w:p w14:paraId="4FF5B666">
      <w:pPr>
        <w:keepNext/>
        <w:keepLines/>
        <w:pageBreakBefore w:val="0"/>
        <w:widowControl w:val="0"/>
        <w:numPr>
          <w:ilvl w:val="0"/>
          <w:numId w:val="0"/>
        </w:numPr>
        <w:kinsoku/>
        <w:wordWrap/>
        <w:overflowPunct/>
        <w:topLinePunct w:val="0"/>
        <w:autoSpaceDE/>
        <w:autoSpaceDN/>
        <w:bidi w:val="0"/>
        <w:adjustRightInd w:val="0"/>
        <w:snapToGrid w:val="0"/>
        <w:spacing w:before="156" w:beforeLines="50" w:after="156" w:afterLines="50" w:line="560" w:lineRule="exact"/>
        <w:ind w:leftChars="0"/>
        <w:jc w:val="center"/>
        <w:textAlignment w:val="auto"/>
        <w:outlineLvl w:val="2"/>
        <w:rPr>
          <w:rFonts w:hint="eastAsia" w:ascii="Times New Roman" w:hAnsi="Times New Roman" w:eastAsia="黑体" w:cs="Times New Roman"/>
          <w:b/>
          <w:bCs/>
          <w:color w:val="auto"/>
          <w:kern w:val="2"/>
          <w:sz w:val="32"/>
          <w:szCs w:val="32"/>
          <w:highlight w:val="none"/>
          <w:u w:val="none"/>
          <w:lang w:val="en-US" w:eastAsia="zh-CN" w:bidi="ar-SA"/>
        </w:rPr>
      </w:pPr>
      <w:bookmarkStart w:id="106" w:name="_Toc27758"/>
      <w:bookmarkStart w:id="107" w:name="_Toc9678"/>
      <w:bookmarkStart w:id="108" w:name="_Toc16851"/>
      <w:bookmarkStart w:id="109" w:name="_Toc19170"/>
      <w:r>
        <w:rPr>
          <w:rFonts w:hint="eastAsia" w:ascii="Times New Roman" w:hAnsi="Times New Roman" w:eastAsia="黑体" w:cs="Times New Roman"/>
          <w:b/>
          <w:bCs/>
          <w:color w:val="auto"/>
          <w:kern w:val="2"/>
          <w:sz w:val="32"/>
          <w:szCs w:val="32"/>
          <w:highlight w:val="none"/>
          <w:u w:val="none"/>
          <w:lang w:val="en-US" w:eastAsia="zh-CN" w:bidi="ar-SA"/>
        </w:rPr>
        <w:t>第三节聚魂文旅融合发展</w:t>
      </w:r>
      <w:bookmarkEnd w:id="106"/>
      <w:bookmarkEnd w:id="107"/>
      <w:bookmarkEnd w:id="108"/>
    </w:p>
    <w:p w14:paraId="4FCC2F4F">
      <w:pPr>
        <w:keepNext w:val="0"/>
        <w:keepLines w:val="0"/>
        <w:pageBreakBefore w:val="0"/>
        <w:widowControl/>
        <w:kinsoku/>
        <w:wordWrap/>
        <w:overflowPunct/>
        <w:topLinePunct w:val="0"/>
        <w:autoSpaceDE/>
        <w:autoSpaceDN/>
        <w:bidi w:val="0"/>
        <w:adjustRightInd w:val="0"/>
        <w:snapToGrid w:val="0"/>
        <w:spacing w:line="560" w:lineRule="exact"/>
        <w:ind w:left="0" w:firstLine="640" w:firstLineChars="200"/>
        <w:textAlignment w:val="auto"/>
        <w:outlineLvl w:val="9"/>
        <w:rPr>
          <w:rFonts w:hint="default" w:ascii="仿宋_GB2312" w:hAnsi="仿宋_GB2312" w:eastAsia="仿宋_GB2312" w:cs="仿宋_GB2312"/>
          <w:color w:val="auto"/>
          <w:kern w:val="2"/>
          <w:sz w:val="32"/>
          <w:szCs w:val="21"/>
          <w:u w:val="none"/>
          <w:lang w:val="en-US" w:eastAsia="zh-CN" w:bidi="ar-SA"/>
        </w:rPr>
      </w:pPr>
      <w:r>
        <w:rPr>
          <w:rFonts w:hint="eastAsia" w:ascii="仿宋_GB2312" w:hAnsi="仿宋_GB2312" w:eastAsia="仿宋_GB2312" w:cs="仿宋_GB2312"/>
          <w:color w:val="auto"/>
          <w:kern w:val="2"/>
          <w:sz w:val="32"/>
          <w:szCs w:val="21"/>
          <w:u w:val="none"/>
          <w:lang w:val="en-US" w:eastAsia="zh-CN" w:bidi="ar-SA"/>
        </w:rPr>
        <w:t>以红色文化、理学文化、道家文化、绿色农耕文化为内核，联动生态农业资源，打造集文化体验、生态休闲、研学旅行于一体的县域文旅标杆，创建河南文旅融合发展示范县。到2030年，形成“文化+生态+农业+消费”深度融合的文旅格局，年接待游客量稳步提升，旅游综合收入持续增长，培育一批省级文旅品牌，建成周口对接郑州大都市圈的重要文旅节点。</w:t>
      </w:r>
    </w:p>
    <w:p w14:paraId="227D2AC5">
      <w:pPr>
        <w:keepNext w:val="0"/>
        <w:keepLines w:val="0"/>
        <w:pageBreakBefore w:val="0"/>
        <w:widowControl/>
        <w:kinsoku/>
        <w:wordWrap/>
        <w:overflowPunct/>
        <w:topLinePunct w:val="0"/>
        <w:autoSpaceDE/>
        <w:autoSpaceDN/>
        <w:bidi w:val="0"/>
        <w:adjustRightInd w:val="0"/>
        <w:snapToGrid w:val="0"/>
        <w:spacing w:line="560" w:lineRule="exact"/>
        <w:ind w:left="0" w:firstLine="643" w:firstLineChars="200"/>
        <w:textAlignment w:val="auto"/>
        <w:outlineLvl w:val="9"/>
        <w:rPr>
          <w:rFonts w:hint="eastAsia" w:ascii="仿宋_GB2312" w:hAnsi="仿宋_GB2312" w:eastAsia="仿宋_GB2312" w:cs="仿宋_GB2312"/>
          <w:color w:val="auto"/>
          <w:kern w:val="2"/>
          <w:sz w:val="32"/>
          <w:szCs w:val="21"/>
          <w:u w:val="none"/>
          <w:lang w:val="en-US" w:eastAsia="zh-CN" w:bidi="ar-SA"/>
        </w:rPr>
      </w:pPr>
      <w:r>
        <w:rPr>
          <w:rFonts w:hint="eastAsia" w:ascii="楷体_GB2312" w:hAnsi="楷体_GB2312" w:eastAsia="楷体_GB2312" w:cs="楷体_GB2312"/>
          <w:b/>
          <w:bCs/>
          <w:color w:val="auto"/>
          <w:kern w:val="2"/>
          <w:sz w:val="32"/>
          <w:szCs w:val="32"/>
          <w:u w:val="none"/>
          <w:lang w:val="en-US" w:eastAsia="zh-CN" w:bidi="ar-SA"/>
        </w:rPr>
        <w:t>优化资源布局。</w:t>
      </w:r>
      <w:r>
        <w:rPr>
          <w:rFonts w:hint="eastAsia" w:ascii="仿宋_GB2312" w:hAnsi="仿宋_GB2312" w:eastAsia="仿宋_GB2312" w:cs="仿宋_GB2312"/>
          <w:color w:val="auto"/>
          <w:kern w:val="2"/>
          <w:sz w:val="32"/>
          <w:szCs w:val="21"/>
          <w:u w:val="none"/>
          <w:lang w:val="en-US" w:eastAsia="zh-CN" w:bidi="ar-SA"/>
        </w:rPr>
        <w:t>打造“三核、三线、两带、四片区”的全域文旅发展思路。“三核”即塑造鸿昌故里、理学圣地、蔬菜之都三个核心城市IP。“三线”即实施“红古绿”三条精品文旅线路打造工程。“两带”即依托贾鲁河穿城而过和清水河、全域水系连通等资源，因地制宜布局特色农业，丰富沿河生态景观，打造贾鲁河生态经济带、清水河现代农业产业经济带。“四片区”即打造孟亭水库农文旅融合示范区、大城文旅消费集聚区、城市休闲观光旅游区、体育赛事体验区。</w:t>
      </w:r>
    </w:p>
    <w:p w14:paraId="02686EA5">
      <w:pPr>
        <w:keepNext w:val="0"/>
        <w:keepLines w:val="0"/>
        <w:pageBreakBefore w:val="0"/>
        <w:widowControl/>
        <w:kinsoku/>
        <w:wordWrap/>
        <w:overflowPunct/>
        <w:topLinePunct w:val="0"/>
        <w:autoSpaceDE/>
        <w:autoSpaceDN/>
        <w:bidi w:val="0"/>
        <w:adjustRightInd w:val="0"/>
        <w:snapToGrid w:val="0"/>
        <w:spacing w:line="560" w:lineRule="exact"/>
        <w:ind w:left="0" w:firstLine="643" w:firstLineChars="200"/>
        <w:textAlignment w:val="auto"/>
        <w:rPr>
          <w:rFonts w:hint="eastAsia" w:ascii="仿宋_GB2312" w:hAnsi="仿宋_GB2312" w:eastAsia="仿宋_GB2312" w:cs="仿宋_GB2312"/>
          <w:color w:val="auto"/>
          <w:kern w:val="2"/>
          <w:sz w:val="32"/>
          <w:szCs w:val="21"/>
          <w:u w:val="none"/>
          <w:lang w:val="en-US" w:eastAsia="zh-CN" w:bidi="ar-SA"/>
        </w:rPr>
      </w:pPr>
      <w:r>
        <w:rPr>
          <w:rFonts w:hint="eastAsia" w:ascii="楷体_GB2312" w:hAnsi="楷体_GB2312" w:eastAsia="楷体_GB2312" w:cs="楷体_GB2312"/>
          <w:b/>
          <w:bCs/>
          <w:color w:val="auto"/>
          <w:kern w:val="2"/>
          <w:sz w:val="32"/>
          <w:szCs w:val="32"/>
          <w:u w:val="none"/>
          <w:lang w:val="en-US" w:eastAsia="zh-CN" w:bidi="ar-SA"/>
        </w:rPr>
        <w:t>培优核心景观。</w:t>
      </w:r>
      <w:r>
        <w:rPr>
          <w:rFonts w:hint="eastAsia" w:ascii="仿宋_GB2312" w:hAnsi="仿宋_GB2312" w:eastAsia="仿宋_GB2312" w:cs="仿宋_GB2312"/>
          <w:color w:val="auto"/>
          <w:kern w:val="2"/>
          <w:sz w:val="32"/>
          <w:szCs w:val="21"/>
          <w:u w:val="none"/>
          <w:lang w:val="en-US" w:eastAsia="zh-CN" w:bidi="ar-SA"/>
        </w:rPr>
        <w:t>对标国家4A级旅游景区标准，全面提质升级现有文旅节点。加快吉鸿昌纪念馆4A级景区创建步伐，开展大程书院、文庙的保护与建设，打造理学文化体验集群。高标准规划提升蔬菜博览园、贾鲁河生态廊道，培优田园观光、农事体验景观群，做强绿色生态农文旅品牌。加快三色文化IP建设，利用人工智能、AR技术，再现历史场景体验。扶持《吉鸿昌将军就义》、《姜鸿起》、《小何庄战斗》等红色文艺精品，推动巡演传播。“十五五”期间，力争拥有1家4A级、3家3A级旅游景区。</w:t>
      </w:r>
    </w:p>
    <w:p w14:paraId="726DAF2D">
      <w:pPr>
        <w:keepNext w:val="0"/>
        <w:keepLines w:val="0"/>
        <w:pageBreakBefore w:val="0"/>
        <w:widowControl/>
        <w:kinsoku/>
        <w:wordWrap/>
        <w:overflowPunct/>
        <w:topLinePunct w:val="0"/>
        <w:autoSpaceDE/>
        <w:autoSpaceDN/>
        <w:bidi w:val="0"/>
        <w:adjustRightInd w:val="0"/>
        <w:snapToGrid w:val="0"/>
        <w:spacing w:line="560" w:lineRule="exact"/>
        <w:ind w:left="0" w:firstLine="643" w:firstLineChars="200"/>
        <w:textAlignment w:val="auto"/>
        <w:outlineLvl w:val="9"/>
        <w:rPr>
          <w:rFonts w:hint="default" w:ascii="仿宋_GB2312" w:hAnsi="仿宋_GB2312" w:eastAsia="仿宋_GB2312" w:cs="仿宋_GB2312"/>
          <w:color w:val="auto"/>
          <w:kern w:val="2"/>
          <w:sz w:val="32"/>
          <w:szCs w:val="21"/>
          <w:u w:val="none"/>
          <w:lang w:val="en-US" w:eastAsia="zh-CN" w:bidi="ar-SA"/>
        </w:rPr>
      </w:pPr>
      <w:r>
        <w:rPr>
          <w:rFonts w:hint="eastAsia" w:ascii="楷体_GB2312" w:hAnsi="楷体_GB2312" w:eastAsia="楷体_GB2312" w:cs="楷体_GB2312"/>
          <w:b/>
          <w:bCs/>
          <w:color w:val="auto"/>
          <w:kern w:val="2"/>
          <w:sz w:val="32"/>
          <w:szCs w:val="32"/>
          <w:u w:val="none"/>
          <w:lang w:val="en-US" w:eastAsia="zh-CN" w:bidi="ar-SA"/>
        </w:rPr>
        <w:t>丰富文旅业态。</w:t>
      </w:r>
      <w:r>
        <w:rPr>
          <w:rFonts w:hint="eastAsia" w:ascii="仿宋_GB2312" w:hAnsi="仿宋_GB2312" w:eastAsia="仿宋_GB2312" w:cs="仿宋_GB2312"/>
          <w:color w:val="auto"/>
          <w:kern w:val="2"/>
          <w:sz w:val="32"/>
          <w:szCs w:val="21"/>
          <w:u w:val="none"/>
          <w:lang w:val="en-US" w:eastAsia="zh-CN" w:bidi="ar-SA"/>
        </w:rPr>
        <w:t>积极对接“中原文化大舞台”活动资源，丰富文旅消费供给，发展红色研学、农事体验、生态康养、乡村休闲、民俗演艺等多元化业态。推进大程文旅生态新城项目建设、恢复利用孟亭水库农文旅融合项目、建设国家级现代农业产业园项目，开发农事体验、研学产品，打造奶牛亲子牧场等三产融合项目；完善游乐、美食、夜经济配套。提升扶沟越调、民间曲艺等文化演艺产品，打造《鸿昌精神》主题情景剧等精品剧目。盘活雾烟山道家文化、支亭寺古刹等文旅资源，大力发展乡村休闲旅游。融入周口市全域旅游发展布局，举办特色蔬菜节、红色文化旅游节等活动赛事。深度开发红色教育、理学探秘、蔬菜科普等优质研学资源，用好“爱国主义教育基地”，打造吉鸿昌精神传承游、理学文化溯源游、蔬菜产业体验游等系列主题产品。拓展电商直播、私人订制等消费新模式，激活文旅消费潜力。</w:t>
      </w:r>
    </w:p>
    <w:p w14:paraId="0A2A91CD">
      <w:pPr>
        <w:keepNext w:val="0"/>
        <w:keepLines w:val="0"/>
        <w:pageBreakBefore w:val="0"/>
        <w:widowControl/>
        <w:kinsoku/>
        <w:wordWrap/>
        <w:overflowPunct/>
        <w:topLinePunct w:val="0"/>
        <w:autoSpaceDE/>
        <w:autoSpaceDN/>
        <w:bidi w:val="0"/>
        <w:adjustRightInd w:val="0"/>
        <w:snapToGrid w:val="0"/>
        <w:spacing w:line="560" w:lineRule="exact"/>
        <w:ind w:left="0" w:firstLine="643" w:firstLineChars="200"/>
        <w:textAlignment w:val="auto"/>
        <w:rPr>
          <w:rFonts w:hint="eastAsia" w:ascii="仿宋_GB2312" w:hAnsi="仿宋_GB2312" w:eastAsia="仿宋_GB2312" w:cs="仿宋_GB2312"/>
          <w:color w:val="auto"/>
          <w:kern w:val="2"/>
          <w:sz w:val="32"/>
          <w:szCs w:val="21"/>
          <w:u w:val="none"/>
          <w:lang w:val="en-US" w:eastAsia="zh-CN" w:bidi="ar-SA"/>
        </w:rPr>
      </w:pPr>
      <w:r>
        <w:rPr>
          <w:rFonts w:hint="eastAsia" w:ascii="楷体_GB2312" w:hAnsi="楷体_GB2312" w:eastAsia="楷体_GB2312" w:cs="楷体_GB2312"/>
          <w:b/>
          <w:bCs/>
          <w:color w:val="auto"/>
          <w:kern w:val="2"/>
          <w:sz w:val="32"/>
          <w:szCs w:val="32"/>
          <w:u w:val="none"/>
          <w:lang w:val="en-US" w:eastAsia="zh-CN" w:bidi="ar-SA"/>
        </w:rPr>
        <w:t>加大宣传推广。</w:t>
      </w:r>
      <w:r>
        <w:rPr>
          <w:rFonts w:hint="eastAsia" w:ascii="仿宋_GB2312" w:hAnsi="仿宋_GB2312" w:eastAsia="仿宋_GB2312" w:cs="仿宋_GB2312"/>
          <w:color w:val="auto"/>
          <w:kern w:val="2"/>
          <w:sz w:val="32"/>
          <w:szCs w:val="21"/>
          <w:u w:val="none"/>
          <w:lang w:val="en-US" w:eastAsia="zh-CN" w:bidi="ar-SA"/>
        </w:rPr>
        <w:t>围绕扶沟文旅核心资源，在省市主流媒体开展专题推介，叫响“鸿昌故里・中原菜都”品牌，邀请重点旅行社、文旅协会到扶沟采风踩线。借助抖音、视频号等新媒体做好扶沟文旅账号，培养本土网红主播和文旅达人，推出系列短视频、直播推介精品，提升扶沟文旅网络热度。常态化举办蔬菜文化节、红色文化研讨会、乡村旅游节等大型活动，打造文旅融合发展金名片。</w:t>
      </w:r>
    </w:p>
    <w:p w14:paraId="7B1A9C34">
      <w:pPr>
        <w:keepNext w:val="0"/>
        <w:keepLines w:val="0"/>
        <w:pageBreakBefore w:val="0"/>
        <w:widowControl/>
        <w:kinsoku/>
        <w:wordWrap/>
        <w:overflowPunct/>
        <w:topLinePunct w:val="0"/>
        <w:autoSpaceDE/>
        <w:autoSpaceDN/>
        <w:bidi w:val="0"/>
        <w:adjustRightInd w:val="0"/>
        <w:snapToGrid w:val="0"/>
        <w:spacing w:line="560" w:lineRule="exact"/>
        <w:ind w:left="0" w:firstLine="643" w:firstLineChars="200"/>
        <w:textAlignment w:val="auto"/>
        <w:rPr>
          <w:rFonts w:hint="eastAsia" w:ascii="仿宋_GB2312" w:hAnsi="仿宋_GB2312" w:eastAsia="仿宋_GB2312" w:cs="仿宋_GB2312"/>
          <w:color w:val="auto"/>
          <w:kern w:val="2"/>
          <w:sz w:val="32"/>
          <w:szCs w:val="21"/>
          <w:u w:val="none"/>
          <w:lang w:val="en-US" w:eastAsia="zh-CN" w:bidi="ar-SA"/>
        </w:rPr>
      </w:pPr>
      <w:r>
        <w:rPr>
          <w:rFonts w:hint="eastAsia" w:ascii="楷体_GB2312" w:hAnsi="楷体_GB2312" w:eastAsia="楷体_GB2312" w:cs="楷体_GB2312"/>
          <w:b/>
          <w:bCs/>
          <w:color w:val="auto"/>
          <w:kern w:val="2"/>
          <w:sz w:val="32"/>
          <w:szCs w:val="32"/>
          <w:u w:val="none"/>
          <w:lang w:val="en-US" w:eastAsia="zh-CN" w:bidi="ar-SA"/>
        </w:rPr>
        <w:t>提升服务体系。</w:t>
      </w:r>
      <w:r>
        <w:rPr>
          <w:rFonts w:hint="eastAsia" w:ascii="仿宋_GB2312" w:hAnsi="仿宋_GB2312" w:eastAsia="仿宋_GB2312" w:cs="仿宋_GB2312"/>
          <w:color w:val="auto"/>
          <w:kern w:val="2"/>
          <w:sz w:val="32"/>
          <w:szCs w:val="21"/>
          <w:u w:val="none"/>
          <w:lang w:val="en-US" w:eastAsia="zh-CN" w:bidi="ar-SA"/>
        </w:rPr>
        <w:t>完善扶沟县与周口市区、鄢陵县、太康县协同发展机制，加强与周边县市旅游资源联动，探索区域文旅合作新模式。强化景区环境卫生、食宿服务等日常管理，提升游客综合满意度。加快智慧旅游体系建设，搭建县域文旅大数据平台，实现景区智慧化管理、信息化服务。广泛开展文旅从业人员技能培训，提升接待服务专业化水平，构建高效便捷、温馨周到的文旅服务体系。</w:t>
      </w:r>
    </w:p>
    <w:p w14:paraId="62E11A74">
      <w:pPr>
        <w:keepNext/>
        <w:keepLines/>
        <w:pageBreakBefore w:val="0"/>
        <w:widowControl w:val="0"/>
        <w:numPr>
          <w:ilvl w:val="0"/>
          <w:numId w:val="0"/>
        </w:numPr>
        <w:kinsoku/>
        <w:wordWrap/>
        <w:overflowPunct/>
        <w:topLinePunct w:val="0"/>
        <w:autoSpaceDE/>
        <w:autoSpaceDN/>
        <w:bidi w:val="0"/>
        <w:adjustRightInd w:val="0"/>
        <w:snapToGrid w:val="0"/>
        <w:spacing w:before="181" w:beforeLines="50" w:after="156" w:afterLines="50" w:line="560" w:lineRule="exact"/>
        <w:ind w:leftChars="0"/>
        <w:jc w:val="center"/>
        <w:textAlignment w:val="auto"/>
        <w:outlineLvl w:val="2"/>
        <w:rPr>
          <w:rFonts w:hint="eastAsia" w:ascii="Times New Roman" w:hAnsi="Times New Roman" w:eastAsia="黑体" w:cs="Times New Roman"/>
          <w:b/>
          <w:bCs/>
          <w:color w:val="auto"/>
          <w:kern w:val="2"/>
          <w:sz w:val="32"/>
          <w:szCs w:val="32"/>
          <w:highlight w:val="none"/>
          <w:u w:val="none"/>
          <w:lang w:val="en-US" w:eastAsia="zh-CN" w:bidi="ar-SA"/>
        </w:rPr>
      </w:pPr>
      <w:bookmarkStart w:id="110" w:name="_Toc22578"/>
      <w:bookmarkStart w:id="111" w:name="_Toc15108"/>
      <w:r>
        <w:rPr>
          <w:rFonts w:hint="eastAsia" w:ascii="Times New Roman" w:hAnsi="Times New Roman" w:eastAsia="黑体" w:cs="Times New Roman"/>
          <w:b/>
          <w:bCs/>
          <w:color w:val="auto"/>
          <w:kern w:val="2"/>
          <w:sz w:val="32"/>
          <w:szCs w:val="32"/>
          <w:highlight w:val="none"/>
          <w:u w:val="none"/>
          <w:lang w:val="en-US" w:eastAsia="zh-CN" w:bidi="ar-SA"/>
        </w:rPr>
        <w:t>第四节提质增效现代服务</w:t>
      </w:r>
      <w:bookmarkEnd w:id="109"/>
      <w:bookmarkEnd w:id="110"/>
      <w:bookmarkEnd w:id="111"/>
    </w:p>
    <w:p w14:paraId="35D3CA8A">
      <w:pPr>
        <w:pageBreakBefore w:val="0"/>
        <w:kinsoku/>
        <w:wordWrap/>
        <w:overflowPunct/>
        <w:topLinePunct w:val="0"/>
        <w:autoSpaceDE/>
        <w:bidi w:val="0"/>
        <w:adjustRightInd w:val="0"/>
        <w:snapToGrid w:val="0"/>
        <w:spacing w:line="560" w:lineRule="exact"/>
        <w:ind w:firstLine="640" w:firstLineChars="200"/>
        <w:textAlignment w:val="auto"/>
        <w:rPr>
          <w:rFonts w:hint="eastAsia" w:ascii="仿宋_GB2312" w:hAnsi="仿宋_GB2312" w:eastAsia="仿宋_GB2312" w:cs="仿宋_GB2312"/>
          <w:color w:val="auto"/>
          <w:kern w:val="2"/>
          <w:sz w:val="32"/>
          <w:szCs w:val="21"/>
          <w:u w:val="none"/>
          <w:lang w:val="en-US" w:eastAsia="zh-CN" w:bidi="ar-SA"/>
        </w:rPr>
      </w:pPr>
      <w:r>
        <w:rPr>
          <w:rFonts w:hint="eastAsia" w:ascii="仿宋_GB2312" w:hAnsi="仿宋_GB2312" w:eastAsia="仿宋_GB2312" w:cs="仿宋_GB2312"/>
          <w:color w:val="auto"/>
          <w:kern w:val="2"/>
          <w:sz w:val="32"/>
          <w:szCs w:val="21"/>
          <w:u w:val="none"/>
          <w:lang w:val="en-US" w:eastAsia="zh-CN" w:bidi="ar-SA"/>
        </w:rPr>
        <w:t>推动服务业从“传统业态”向“高品质、数字化”转型，构建“生产性服务业赋能产业、生活性服务业惠及民生”的服务体系。</w:t>
      </w:r>
    </w:p>
    <w:p w14:paraId="4C3D9D31">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outlineLvl w:val="3"/>
        <w:rPr>
          <w:rFonts w:hint="eastAsia" w:ascii="楷体_GB2312" w:hAnsi="楷体_GB2312" w:eastAsia="楷体_GB2312" w:cs="楷体_GB2312"/>
          <w:b/>
          <w:bCs/>
          <w:color w:val="auto"/>
          <w:kern w:val="2"/>
          <w:sz w:val="32"/>
          <w:szCs w:val="32"/>
          <w:u w:val="none"/>
          <w:lang w:val="en-US" w:eastAsia="zh-CN" w:bidi="ar-SA"/>
        </w:rPr>
      </w:pPr>
      <w:r>
        <w:rPr>
          <w:rFonts w:hint="eastAsia" w:ascii="楷体_GB2312" w:hAnsi="楷体_GB2312" w:eastAsia="楷体_GB2312" w:cs="楷体_GB2312"/>
          <w:b/>
          <w:bCs/>
          <w:color w:val="auto"/>
          <w:kern w:val="2"/>
          <w:sz w:val="32"/>
          <w:szCs w:val="32"/>
          <w:u w:val="none"/>
          <w:lang w:val="en-US" w:eastAsia="zh-CN" w:bidi="ar-SA"/>
        </w:rPr>
        <w:t>（一）</w:t>
      </w:r>
      <w:r>
        <w:rPr>
          <w:rFonts w:hint="default" w:ascii="楷体_GB2312" w:hAnsi="楷体_GB2312" w:eastAsia="楷体_GB2312" w:cs="楷体_GB2312"/>
          <w:b/>
          <w:bCs/>
          <w:color w:val="auto"/>
          <w:kern w:val="2"/>
          <w:sz w:val="32"/>
          <w:szCs w:val="32"/>
          <w:u w:val="none"/>
          <w:lang w:val="en-US" w:eastAsia="zh-CN" w:bidi="ar-SA"/>
        </w:rPr>
        <w:t>大力发展生产性服务业</w:t>
      </w:r>
    </w:p>
    <w:p w14:paraId="38083750">
      <w:pPr>
        <w:pageBreakBefore w:val="0"/>
        <w:kinsoku/>
        <w:wordWrap/>
        <w:overflowPunct/>
        <w:topLinePunct w:val="0"/>
        <w:autoSpaceDE/>
        <w:bidi w:val="0"/>
        <w:adjustRightInd w:val="0"/>
        <w:snapToGrid w:val="0"/>
        <w:spacing w:line="560" w:lineRule="exact"/>
        <w:ind w:firstLine="640" w:firstLineChars="200"/>
        <w:textAlignment w:val="auto"/>
        <w:rPr>
          <w:rFonts w:hint="eastAsia" w:ascii="仿宋_GB2312" w:hAnsi="仿宋_GB2312" w:eastAsia="仿宋_GB2312" w:cs="仿宋_GB2312"/>
          <w:color w:val="auto"/>
          <w:kern w:val="2"/>
          <w:sz w:val="32"/>
          <w:szCs w:val="21"/>
          <w:u w:val="none"/>
          <w:lang w:val="en-US" w:eastAsia="zh-CN" w:bidi="ar-SA"/>
        </w:rPr>
      </w:pPr>
      <w:r>
        <w:rPr>
          <w:rFonts w:hint="eastAsia" w:ascii="仿宋_GB2312" w:hAnsi="仿宋_GB2312" w:eastAsia="仿宋_GB2312" w:cs="仿宋_GB2312"/>
          <w:color w:val="auto"/>
          <w:kern w:val="2"/>
          <w:sz w:val="32"/>
          <w:szCs w:val="21"/>
          <w:u w:val="none"/>
          <w:lang w:val="en-US" w:eastAsia="zh-CN" w:bidi="ar-SA"/>
        </w:rPr>
        <w:t>“十五五”期间，聚焦产业升级需求，发展现代物流、科技服务、金融服务等生产性服务业，提升产业协同效率。</w:t>
      </w:r>
    </w:p>
    <w:p w14:paraId="245C1247">
      <w:pPr>
        <w:pageBreakBefore w:val="0"/>
        <w:kinsoku/>
        <w:wordWrap/>
        <w:overflowPunct/>
        <w:topLinePunct w:val="0"/>
        <w:autoSpaceDE/>
        <w:bidi w:val="0"/>
        <w:adjustRightInd w:val="0"/>
        <w:snapToGrid w:val="0"/>
        <w:spacing w:line="560" w:lineRule="exact"/>
        <w:ind w:firstLine="643" w:firstLineChars="200"/>
        <w:textAlignment w:val="auto"/>
        <w:rPr>
          <w:rFonts w:hint="eastAsia" w:ascii="仿宋_GB2312" w:hAnsi="仿宋_GB2312" w:eastAsia="仿宋_GB2312" w:cs="仿宋_GB2312"/>
          <w:color w:val="auto"/>
          <w:kern w:val="2"/>
          <w:sz w:val="32"/>
          <w:szCs w:val="21"/>
          <w:u w:val="none"/>
          <w:lang w:val="en-US" w:eastAsia="zh-CN" w:bidi="ar-SA"/>
        </w:rPr>
      </w:pPr>
      <w:r>
        <w:rPr>
          <w:rFonts w:hint="eastAsia" w:ascii="仿宋_GB2312" w:hAnsi="仿宋_GB2312" w:eastAsia="仿宋_GB2312" w:cs="仿宋_GB2312"/>
          <w:b/>
          <w:bCs/>
          <w:color w:val="auto"/>
          <w:kern w:val="2"/>
          <w:sz w:val="32"/>
          <w:szCs w:val="21"/>
          <w:u w:val="none"/>
          <w:lang w:val="en-US" w:eastAsia="zh-CN" w:bidi="ar-SA"/>
        </w:rPr>
        <w:t>聚焦现代物流业。</w:t>
      </w:r>
      <w:r>
        <w:rPr>
          <w:rFonts w:hint="eastAsia" w:ascii="仿宋_GB2312" w:hAnsi="仿宋_GB2312" w:eastAsia="仿宋_GB2312" w:cs="仿宋_GB2312"/>
          <w:color w:val="auto"/>
          <w:kern w:val="2"/>
          <w:sz w:val="32"/>
          <w:szCs w:val="21"/>
          <w:u w:val="none"/>
          <w:lang w:val="en-US" w:eastAsia="zh-CN" w:bidi="ar-SA"/>
        </w:rPr>
        <w:t>依托“高铁+高速+河港”交通枢纽资源，构建以中心城区为核心、县先进制造业开发区为产业支撑、乡镇物流节点为延伸的“县园乡站村点”综合物流体系。推进京东智慧物流港高质量运营，建设蔬菜精深加工产业园冷链物流中心、开发区工业物流园、崔桥镇农产品物流枢纽、练寺镇蔬菜产地物流园、汴岗镇辣椒交易物流园等重点项目。发展现代冷链物流，聚焦蔬菜特色产业，加强蔬菜产地预冷保鲜库、冷链运输车队、低温配送中心等设施建设，推广“冷链云仓+共同配送+产地直发”创新模式，打通“扶沟蔬菜”从田间到餐桌的全程冷链链条；依托县域医共体建设，完善医疗物资冷链配送网络，保障药品、疫苗等精准高效运输。建强县级物流分拨中心阵地，整合邮政、供销、快递资源，实现“一中心统揽县域物流调度”；建优16个乡镇物流服务总站，配套建设仓储、分拣、配送功能区；建好村级物流服务站点，嵌入电商服务、农产品代销等功能。创新客货邮融合“1（县级枢纽）+16（乡镇总站）+355（村级站点）”模式，开通城乡物流专线18条，促进寄递物流降本增效，降低农产品上行和工业品下乡物流成本。“十五五”时期，努力打造辐射豫东、对接郑州都市圈、联通全国的商贸物流枢纽基地，为蔬菜产业、纺织服装、装备制造等主导产业提供高效物流支撑。</w:t>
      </w:r>
    </w:p>
    <w:p w14:paraId="4BA4818E">
      <w:pPr>
        <w:pageBreakBefore w:val="0"/>
        <w:kinsoku/>
        <w:wordWrap/>
        <w:overflowPunct/>
        <w:topLinePunct w:val="0"/>
        <w:autoSpaceDE/>
        <w:bidi w:val="0"/>
        <w:adjustRightInd w:val="0"/>
        <w:snapToGrid w:val="0"/>
        <w:spacing w:line="560" w:lineRule="exact"/>
        <w:ind w:firstLine="643" w:firstLineChars="200"/>
        <w:textAlignment w:val="auto"/>
        <w:rPr>
          <w:rFonts w:hint="eastAsia" w:ascii="仿宋_GB2312" w:hAnsi="仿宋_GB2312" w:eastAsia="仿宋_GB2312" w:cs="仿宋_GB2312"/>
          <w:color w:val="auto"/>
          <w:kern w:val="2"/>
          <w:sz w:val="32"/>
          <w:szCs w:val="21"/>
          <w:u w:val="none"/>
          <w:lang w:val="en-US" w:eastAsia="zh-CN" w:bidi="ar-SA"/>
        </w:rPr>
      </w:pPr>
      <w:r>
        <w:rPr>
          <w:rFonts w:hint="eastAsia" w:ascii="仿宋_GB2312" w:hAnsi="仿宋_GB2312" w:eastAsia="仿宋_GB2312" w:cs="仿宋_GB2312"/>
          <w:b/>
          <w:bCs/>
          <w:color w:val="auto"/>
          <w:kern w:val="2"/>
          <w:sz w:val="32"/>
          <w:szCs w:val="21"/>
          <w:u w:val="none"/>
          <w:lang w:val="en-US" w:eastAsia="zh-CN" w:bidi="ar-SA"/>
        </w:rPr>
        <w:t>培育科技服务业。</w:t>
      </w:r>
      <w:r>
        <w:rPr>
          <w:rFonts w:hint="eastAsia" w:ascii="仿宋_GB2312" w:hAnsi="仿宋_GB2312" w:eastAsia="仿宋_GB2312" w:cs="仿宋_GB2312"/>
          <w:color w:val="auto"/>
          <w:kern w:val="2"/>
          <w:sz w:val="32"/>
          <w:szCs w:val="21"/>
          <w:u w:val="none"/>
          <w:lang w:val="en-US" w:eastAsia="zh-CN" w:bidi="ar-SA"/>
        </w:rPr>
        <w:t>搭建“平台+人才+服务”科技服务体系，为产业升级提供技术支撑。高标准运营双创中心“两厅五中心”（展示厅、路演厅，研发中心、检测中心、孵化中心、培训中心、投融资中心）、数字化转型促进中心，为入驻企业提供知识产权代理、研发检测、投融资对接等“一站式”服务，目标2030年新培育高质量科创单元50家以上，引进创新技术人才150人，推动研发投入强度提升至2%。聚焦蔬菜种植、新能源等产业，联合河南农业大学等科研机构共建“中原农谷扶沟蔬菜研发基地”“新能源电池材料实验室”等技术创新平台，开展蔬菜种苗改良、智能农机装备、全固态电池等关键技术攻关。建立科技成果转化机制，推动绿业元会展中心拓展技术交流功能，每年举办农业科技博览会、新能源产业论坛等活动不少于4场，“十五五”末力争促成技术合作项目50个，技术合同成交额突破15亿元。</w:t>
      </w:r>
    </w:p>
    <w:p w14:paraId="38F7B0CE">
      <w:pPr>
        <w:keepNext w:val="0"/>
        <w:keepLines w:val="0"/>
        <w:pageBreakBefore w:val="0"/>
        <w:widowControl w:val="0"/>
        <w:kinsoku/>
        <w:wordWrap/>
        <w:overflowPunct/>
        <w:topLinePunct w:val="0"/>
        <w:autoSpaceDE/>
        <w:autoSpaceDN/>
        <w:bidi w:val="0"/>
        <w:adjustRightInd w:val="0"/>
        <w:snapToGrid w:val="0"/>
        <w:spacing w:after="721" w:afterLines="200" w:line="560" w:lineRule="exact"/>
        <w:ind w:firstLine="643" w:firstLineChars="200"/>
        <w:textAlignment w:val="auto"/>
        <w:rPr>
          <w:rFonts w:hint="eastAsia" w:ascii="仿宋_GB2312" w:hAnsi="仿宋_GB2312" w:eastAsia="仿宋_GB2312" w:cs="仿宋_GB2312"/>
          <w:color w:val="auto"/>
          <w:kern w:val="2"/>
          <w:sz w:val="32"/>
          <w:szCs w:val="21"/>
          <w:u w:val="none"/>
          <w:lang w:val="en-US" w:eastAsia="zh-CN" w:bidi="ar-SA"/>
        </w:rPr>
      </w:pPr>
      <w:r>
        <w:rPr>
          <w:rFonts w:hint="eastAsia" w:ascii="仿宋_GB2312" w:hAnsi="仿宋_GB2312" w:eastAsia="仿宋_GB2312" w:cs="仿宋_GB2312"/>
          <w:b/>
          <w:bCs/>
          <w:color w:val="auto"/>
          <w:kern w:val="2"/>
          <w:sz w:val="32"/>
          <w:szCs w:val="21"/>
          <w:u w:val="none"/>
          <w:lang w:val="en-US" w:eastAsia="zh-CN" w:bidi="ar-SA"/>
        </w:rPr>
        <w:t>发展金融服务业。</w:t>
      </w:r>
      <w:r>
        <w:rPr>
          <w:rFonts w:hint="eastAsia" w:ascii="仿宋_GB2312" w:hAnsi="仿宋_GB2312" w:eastAsia="仿宋_GB2312" w:cs="仿宋_GB2312"/>
          <w:color w:val="auto"/>
          <w:kern w:val="2"/>
          <w:sz w:val="32"/>
          <w:szCs w:val="21"/>
          <w:u w:val="none"/>
          <w:lang w:val="en-US" w:eastAsia="zh-CN" w:bidi="ar-SA"/>
        </w:rPr>
        <w:t>建设“财政+金融+资本市场”多层次服务体系，缓解企业融资难、融资贵问题，为产业发展注入金融活水。搭建政银企对接平台，整合银行、担保、保险等机构资源，为企业提供“一站式”融资服务。拓宽企业直接融资渠道，实施“企业上市培育工程”，建立上市后备企业库。推动企业对接资本市场，支持符合条件的企业发行公司债、中期票据，鼓励地方平台发行产业专项债，用于支持智能制造、城市更新等项目。优化金融生态环境，加强金融风险防控，整合税务、市场监管、环保等数据，为金融机构提供精准画像，防范信贷风险。</w:t>
      </w:r>
    </w:p>
    <w:tbl>
      <w:tblPr>
        <w:tblStyle w:val="2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74"/>
      </w:tblGrid>
      <w:tr w14:paraId="215B61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jc w:val="center"/>
        </w:trPr>
        <w:tc>
          <w:tcPr>
            <w:tcW w:w="8674" w:type="dxa"/>
            <w:noWrap w:val="0"/>
            <w:vAlign w:val="center"/>
          </w:tcPr>
          <w:p w14:paraId="158615A8">
            <w:pPr>
              <w:keepNext w:val="0"/>
              <w:keepLines w:val="0"/>
              <w:pageBreakBefore w:val="0"/>
              <w:widowControl w:val="0"/>
              <w:suppressLineNumbers w:val="0"/>
              <w:kinsoku/>
              <w:wordWrap/>
              <w:overflowPunct/>
              <w:topLinePunct w:val="0"/>
              <w:autoSpaceDE/>
              <w:autoSpaceDN/>
              <w:bidi w:val="0"/>
              <w:adjustRightInd w:val="0"/>
              <w:snapToGrid w:val="0"/>
              <w:spacing w:beforeAutospacing="0" w:afterAutospacing="0" w:line="400" w:lineRule="exact"/>
              <w:ind w:left="0" w:right="0" w:firstLine="0" w:firstLineChars="0"/>
              <w:jc w:val="center"/>
              <w:textAlignment w:val="auto"/>
              <w:rPr>
                <w:rFonts w:hint="default" w:ascii="Times New Roman" w:hAnsi="Times New Roman" w:eastAsia="仿宋" w:cs="Times New Roman"/>
                <w:color w:val="auto"/>
                <w:sz w:val="28"/>
                <w:szCs w:val="28"/>
                <w:highlight w:val="none"/>
                <w:u w:val="none"/>
                <w:shd w:val="clear" w:color="auto" w:fill="FFFFFF"/>
              </w:rPr>
            </w:pPr>
            <w:r>
              <w:rPr>
                <w:rFonts w:hint="eastAsia" w:ascii="楷体_GB2312" w:hAnsi="楷体_GB2312" w:eastAsia="楷体_GB2312" w:cs="楷体_GB2312"/>
                <w:b/>
                <w:bCs w:val="0"/>
                <w:color w:val="auto"/>
                <w:sz w:val="28"/>
                <w:szCs w:val="28"/>
                <w:highlight w:val="none"/>
                <w:u w:val="none"/>
                <w:shd w:val="clear" w:color="auto" w:fill="FFFFFF"/>
              </w:rPr>
              <w:t>专栏</w:t>
            </w:r>
            <w:r>
              <w:rPr>
                <w:rFonts w:hint="eastAsia" w:ascii="楷体_GB2312" w:hAnsi="楷体_GB2312" w:eastAsia="楷体_GB2312" w:cs="楷体_GB2312"/>
                <w:b/>
                <w:bCs w:val="0"/>
                <w:color w:val="auto"/>
                <w:sz w:val="28"/>
                <w:szCs w:val="28"/>
                <w:highlight w:val="none"/>
                <w:u w:val="none"/>
                <w:shd w:val="clear" w:color="auto" w:fill="FFFFFF"/>
                <w:lang w:val="en-US" w:eastAsia="zh-CN"/>
              </w:rPr>
              <w:t>3-4</w:t>
            </w:r>
            <w:r>
              <w:rPr>
                <w:rFonts w:hint="eastAsia" w:ascii="楷体_GB2312" w:hAnsi="楷体_GB2312" w:eastAsia="楷体_GB2312" w:cs="楷体_GB2312"/>
                <w:b/>
                <w:bCs w:val="0"/>
                <w:color w:val="auto"/>
                <w:sz w:val="28"/>
                <w:szCs w:val="28"/>
                <w:highlight w:val="none"/>
                <w:u w:val="none"/>
                <w:shd w:val="clear" w:color="auto" w:fill="FFFFFF"/>
              </w:rPr>
              <w:t>：“十</w:t>
            </w:r>
            <w:r>
              <w:rPr>
                <w:rFonts w:hint="eastAsia" w:ascii="楷体_GB2312" w:hAnsi="楷体_GB2312" w:eastAsia="楷体_GB2312" w:cs="楷体_GB2312"/>
                <w:b/>
                <w:bCs w:val="0"/>
                <w:color w:val="auto"/>
                <w:sz w:val="28"/>
                <w:szCs w:val="28"/>
                <w:highlight w:val="none"/>
                <w:u w:val="none"/>
                <w:shd w:val="clear" w:color="auto" w:fill="FFFFFF"/>
                <w:lang w:val="en-US" w:eastAsia="zh-CN"/>
              </w:rPr>
              <w:t>五</w:t>
            </w:r>
            <w:r>
              <w:rPr>
                <w:rFonts w:hint="eastAsia" w:ascii="楷体_GB2312" w:hAnsi="楷体_GB2312" w:eastAsia="楷体_GB2312" w:cs="楷体_GB2312"/>
                <w:b/>
                <w:bCs w:val="0"/>
                <w:color w:val="auto"/>
                <w:sz w:val="28"/>
                <w:szCs w:val="28"/>
                <w:highlight w:val="none"/>
                <w:u w:val="none"/>
                <w:shd w:val="clear" w:color="auto" w:fill="FFFFFF"/>
              </w:rPr>
              <w:t>五”</w:t>
            </w:r>
            <w:r>
              <w:rPr>
                <w:rFonts w:hint="eastAsia" w:ascii="楷体_GB2312" w:hAnsi="楷体_GB2312" w:eastAsia="楷体_GB2312" w:cs="楷体_GB2312"/>
                <w:b/>
                <w:bCs w:val="0"/>
                <w:color w:val="auto"/>
                <w:sz w:val="28"/>
                <w:szCs w:val="28"/>
                <w:highlight w:val="none"/>
                <w:u w:val="none"/>
                <w:shd w:val="clear" w:color="auto" w:fill="FFFFFF"/>
                <w:lang w:val="en-US" w:eastAsia="zh-CN"/>
              </w:rPr>
              <w:t>期间生产性服务业</w:t>
            </w:r>
            <w:r>
              <w:rPr>
                <w:rFonts w:hint="eastAsia" w:ascii="楷体_GB2312" w:hAnsi="楷体_GB2312" w:eastAsia="楷体_GB2312" w:cs="楷体_GB2312"/>
                <w:b/>
                <w:bCs w:val="0"/>
                <w:color w:val="auto"/>
                <w:sz w:val="28"/>
                <w:szCs w:val="28"/>
                <w:highlight w:val="none"/>
                <w:u w:val="none"/>
                <w:shd w:val="clear" w:color="auto" w:fill="FFFFFF"/>
              </w:rPr>
              <w:t>重点项目</w:t>
            </w:r>
          </w:p>
        </w:tc>
      </w:tr>
      <w:tr w14:paraId="3F62E0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jc w:val="center"/>
        </w:trPr>
        <w:tc>
          <w:tcPr>
            <w:tcW w:w="8674" w:type="dxa"/>
            <w:noWrap w:val="0"/>
            <w:vAlign w:val="center"/>
          </w:tcPr>
          <w:p w14:paraId="3D6D6AD3">
            <w:pPr>
              <w:keepNext w:val="0"/>
              <w:keepLines w:val="0"/>
              <w:pageBreakBefore w:val="0"/>
              <w:widowControl w:val="0"/>
              <w:suppressLineNumbers w:val="0"/>
              <w:kinsoku/>
              <w:wordWrap/>
              <w:overflowPunct/>
              <w:topLinePunct w:val="0"/>
              <w:autoSpaceDE/>
              <w:autoSpaceDN/>
              <w:bidi w:val="0"/>
              <w:adjustRightInd w:val="0"/>
              <w:snapToGrid w:val="0"/>
              <w:spacing w:beforeAutospacing="0" w:afterAutospacing="0" w:line="400" w:lineRule="exact"/>
              <w:ind w:left="0" w:right="0" w:firstLine="562" w:firstLineChars="200"/>
              <w:jc w:val="both"/>
              <w:textAlignment w:val="auto"/>
              <w:rPr>
                <w:rFonts w:hint="eastAsia"/>
                <w:lang w:val="en-US" w:eastAsia="zh-CN"/>
              </w:rPr>
            </w:pPr>
            <w:r>
              <w:rPr>
                <w:rFonts w:hint="eastAsia" w:ascii="Times New Roman" w:hAnsi="Times New Roman" w:eastAsia="仿宋_GB2312" w:cs="Times New Roman"/>
                <w:b/>
                <w:bCs/>
                <w:color w:val="auto"/>
                <w:kern w:val="2"/>
                <w:sz w:val="28"/>
                <w:szCs w:val="28"/>
                <w:highlight w:val="none"/>
                <w:u w:val="none"/>
                <w:lang w:val="en-US" w:eastAsia="zh-CN" w:bidi="ar-SA"/>
              </w:rPr>
              <w:t>现代物流业：重点实施</w:t>
            </w:r>
            <w:r>
              <w:rPr>
                <w:rFonts w:hint="eastAsia" w:ascii="Times New Roman" w:hAnsi="Times New Roman" w:eastAsia="仿宋_GB2312" w:cs="Times New Roman"/>
                <w:b w:val="0"/>
                <w:bCs w:val="0"/>
                <w:color w:val="auto"/>
                <w:kern w:val="2"/>
                <w:sz w:val="28"/>
                <w:szCs w:val="28"/>
                <w:highlight w:val="none"/>
                <w:u w:val="none"/>
                <w:lang w:val="en-US" w:eastAsia="zh-CN" w:bidi="ar-SA"/>
              </w:rPr>
              <w:t>扶沟县智能仓储及冷链集配中心建设项目、扶沟县大型蔬菜交易物流园建设项目、扶沟县智慧数字冷链物流仓储一体化建设项目、扶沟县鑫汇洋冷链产业园建设、扶沟县乡镇农贸综合市场建设项目、扶沟县农产品冷链（京东）综合物流园建设项目。</w:t>
            </w:r>
          </w:p>
        </w:tc>
      </w:tr>
    </w:tbl>
    <w:p w14:paraId="39D3549D">
      <w:pPr>
        <w:keepNext w:val="0"/>
        <w:keepLines w:val="0"/>
        <w:pageBreakBefore w:val="0"/>
        <w:widowControl w:val="0"/>
        <w:kinsoku/>
        <w:wordWrap/>
        <w:overflowPunct/>
        <w:topLinePunct w:val="0"/>
        <w:autoSpaceDE/>
        <w:autoSpaceDN/>
        <w:bidi w:val="0"/>
        <w:adjustRightInd w:val="0"/>
        <w:snapToGrid w:val="0"/>
        <w:spacing w:before="361" w:beforeLines="100" w:line="560" w:lineRule="exact"/>
        <w:ind w:firstLine="643" w:firstLineChars="200"/>
        <w:textAlignment w:val="auto"/>
        <w:outlineLvl w:val="3"/>
        <w:rPr>
          <w:rFonts w:hint="eastAsia" w:ascii="楷体_GB2312" w:hAnsi="楷体_GB2312" w:eastAsia="楷体_GB2312" w:cs="楷体_GB2312"/>
          <w:b/>
          <w:bCs/>
          <w:color w:val="auto"/>
          <w:kern w:val="2"/>
          <w:sz w:val="32"/>
          <w:szCs w:val="32"/>
          <w:u w:val="none"/>
          <w:lang w:val="en-US" w:eastAsia="zh-CN" w:bidi="ar-SA"/>
        </w:rPr>
      </w:pPr>
      <w:r>
        <w:rPr>
          <w:rFonts w:hint="eastAsia" w:ascii="楷体_GB2312" w:hAnsi="楷体_GB2312" w:eastAsia="楷体_GB2312" w:cs="楷体_GB2312"/>
          <w:b/>
          <w:bCs/>
          <w:color w:val="auto"/>
          <w:kern w:val="2"/>
          <w:sz w:val="32"/>
          <w:szCs w:val="32"/>
          <w:u w:val="none"/>
          <w:lang w:val="en-US" w:eastAsia="zh-CN" w:bidi="ar-SA"/>
        </w:rPr>
        <w:t>（二）加快提升生活性服务业</w:t>
      </w:r>
    </w:p>
    <w:p w14:paraId="5902B5DD">
      <w:pPr>
        <w:pageBreakBefore w:val="0"/>
        <w:kinsoku/>
        <w:wordWrap/>
        <w:overflowPunct/>
        <w:topLinePunct w:val="0"/>
        <w:autoSpaceDE/>
        <w:bidi w:val="0"/>
        <w:adjustRightInd w:val="0"/>
        <w:snapToGrid w:val="0"/>
        <w:spacing w:line="560" w:lineRule="exact"/>
        <w:ind w:firstLine="640" w:firstLineChars="200"/>
        <w:textAlignment w:val="auto"/>
        <w:rPr>
          <w:rFonts w:hint="eastAsia" w:ascii="仿宋_GB2312" w:hAnsi="仿宋_GB2312" w:eastAsia="仿宋_GB2312" w:cs="仿宋_GB2312"/>
          <w:color w:val="auto"/>
          <w:kern w:val="2"/>
          <w:sz w:val="32"/>
          <w:szCs w:val="21"/>
          <w:u w:val="none"/>
          <w:lang w:val="en-US" w:eastAsia="zh-CN" w:bidi="ar-SA"/>
        </w:rPr>
      </w:pPr>
      <w:r>
        <w:rPr>
          <w:rFonts w:hint="eastAsia" w:ascii="仿宋_GB2312" w:hAnsi="仿宋_GB2312" w:eastAsia="仿宋_GB2312" w:cs="仿宋_GB2312"/>
          <w:color w:val="auto"/>
          <w:kern w:val="2"/>
          <w:sz w:val="32"/>
          <w:szCs w:val="21"/>
          <w:u w:val="none"/>
          <w:lang w:val="en-US" w:eastAsia="zh-CN" w:bidi="ar-SA"/>
        </w:rPr>
        <w:t>“十五五”期间，以现代商贸业、银发经济为核心抓手，加快补齐生活性服务业短板、激活产业融合动能、优化服务供给品质，着力构建覆盖城乡、业态多元、便捷高效的生活性服务业体系。</w:t>
      </w:r>
    </w:p>
    <w:p w14:paraId="2384018E">
      <w:pPr>
        <w:pageBreakBefore w:val="0"/>
        <w:kinsoku/>
        <w:wordWrap/>
        <w:overflowPunct/>
        <w:topLinePunct w:val="0"/>
        <w:autoSpaceDE/>
        <w:bidi w:val="0"/>
        <w:adjustRightInd w:val="0"/>
        <w:snapToGrid w:val="0"/>
        <w:spacing w:line="560" w:lineRule="exact"/>
        <w:ind w:firstLine="643" w:firstLineChars="200"/>
        <w:textAlignment w:val="auto"/>
        <w:rPr>
          <w:rFonts w:hint="eastAsia" w:ascii="仿宋_GB2312" w:hAnsi="仿宋_GB2312" w:eastAsia="仿宋_GB2312" w:cs="仿宋_GB2312"/>
          <w:color w:val="auto"/>
          <w:kern w:val="2"/>
          <w:sz w:val="32"/>
          <w:szCs w:val="21"/>
          <w:u w:val="none"/>
          <w:lang w:val="en-US" w:eastAsia="zh-CN" w:bidi="ar-SA"/>
        </w:rPr>
      </w:pPr>
      <w:r>
        <w:rPr>
          <w:rFonts w:hint="eastAsia" w:ascii="仿宋_GB2312" w:hAnsi="仿宋_GB2312" w:eastAsia="仿宋_GB2312" w:cs="仿宋_GB2312"/>
          <w:b/>
          <w:bCs/>
          <w:color w:val="auto"/>
          <w:kern w:val="2"/>
          <w:sz w:val="32"/>
          <w:szCs w:val="21"/>
          <w:u w:val="none"/>
          <w:lang w:val="en-US" w:eastAsia="zh-CN" w:bidi="ar-SA"/>
        </w:rPr>
        <w:t>升级现代商贸业。</w:t>
      </w:r>
      <w:r>
        <w:rPr>
          <w:rFonts w:hint="eastAsia" w:ascii="仿宋_GB2312" w:hAnsi="仿宋_GB2312" w:eastAsia="仿宋_GB2312" w:cs="仿宋_GB2312"/>
          <w:color w:val="auto"/>
          <w:kern w:val="2"/>
          <w:sz w:val="32"/>
          <w:szCs w:val="21"/>
          <w:u w:val="none"/>
          <w:lang w:val="en-US" w:eastAsia="zh-CN" w:bidi="ar-SA"/>
        </w:rPr>
        <w:t>实施乡镇商贸中心全面升级工程，引入连锁超市、品牌专卖等多元业态，具备条件的集镇区建设集购物、餐饮、休闲、线上直播于一体的综合商业体。实施标准化农贸市场示范工程，完善基础设施和仓储设施，建设智能化管理系统，全面提升市场运营水平。依托“全生态蔬菜之都”影响力，积极融入郑州都市圈，对接郑州航空港、郑州万邦农产品市场，建设“扶沟蔬菜”直供基地；对接长三角、珠三角、华北地区市场，与上海江桥、广州江南、北京新发地等大型农产品市场建立合作关系，设立“扶沟蔬菜”销售专区。加快现有电商产业园提档升级，新建功能全面的大型新业态产业园。深化“直播+农业”融合发展，培育本土电商主播，打造特色直播品牌。完善县乡村三级电商服务体系，拓展村民代买代卖、物流配送等服务功能。努力打造豫东商贸物流枢纽基地，建成业态丰富、功能完善、辐射广泛、特色鲜明的现代商贸体系。</w:t>
      </w:r>
    </w:p>
    <w:p w14:paraId="6556ED84">
      <w:pPr>
        <w:pageBreakBefore w:val="0"/>
        <w:kinsoku/>
        <w:wordWrap/>
        <w:overflowPunct/>
        <w:topLinePunct w:val="0"/>
        <w:autoSpaceDE/>
        <w:bidi w:val="0"/>
        <w:adjustRightInd w:val="0"/>
        <w:snapToGrid w:val="0"/>
        <w:spacing w:line="560" w:lineRule="exact"/>
        <w:ind w:firstLine="643" w:firstLineChars="200"/>
        <w:textAlignment w:val="auto"/>
        <w:rPr>
          <w:rFonts w:hint="eastAsia" w:ascii="仿宋_GB2312" w:hAnsi="仿宋_GB2312" w:eastAsia="仿宋_GB2312" w:cs="仿宋_GB2312"/>
          <w:color w:val="auto"/>
          <w:kern w:val="2"/>
          <w:sz w:val="32"/>
          <w:szCs w:val="21"/>
          <w:u w:val="none"/>
          <w:lang w:val="en-US" w:eastAsia="zh-CN" w:bidi="ar-SA"/>
        </w:rPr>
      </w:pPr>
      <w:r>
        <w:rPr>
          <w:rFonts w:hint="eastAsia" w:ascii="仿宋_GB2312" w:hAnsi="仿宋_GB2312" w:eastAsia="仿宋_GB2312" w:cs="仿宋_GB2312"/>
          <w:b/>
          <w:bCs/>
          <w:color w:val="auto"/>
          <w:kern w:val="2"/>
          <w:sz w:val="32"/>
          <w:szCs w:val="21"/>
          <w:u w:val="none"/>
          <w:lang w:val="en-US" w:eastAsia="zh-CN" w:bidi="ar-SA"/>
        </w:rPr>
        <w:t>培植银发经济。</w:t>
      </w:r>
      <w:r>
        <w:rPr>
          <w:rFonts w:hint="eastAsia" w:ascii="仿宋_GB2312" w:hAnsi="仿宋_GB2312" w:eastAsia="仿宋_GB2312" w:cs="仿宋_GB2312"/>
          <w:color w:val="auto"/>
          <w:kern w:val="2"/>
          <w:sz w:val="32"/>
          <w:szCs w:val="21"/>
          <w:u w:val="none"/>
          <w:lang w:val="en-US" w:eastAsia="zh-CN" w:bidi="ar-SA"/>
        </w:rPr>
        <w:t>紧抓人口老龄化发展机遇，加大社会资本引进力度，壮大健康养老服务。以“医养结合、智慧养老、品质养老”为方向，完善养老服务供给。优化县级养老服务中心、乡镇养老服务站，整合康复护理、老年食堂、文化娱乐等功能，提供一站式养老服务。依托县人民医院、县中医院等本地优质医疗资源，深化“医养结合”模式，优化老年人就医绿色通道。开发适老化旅游产品，打造特色老年旅游线路，推动老年旅游与休闲康养结合。鼓励零售、社工机构等拓展助老服务功能，提供生活用品代购、家政预约、代收代缴、挂号取药等服务。支持商超设立银发消费专区，增加银发经济产品和服务供给。</w:t>
      </w:r>
    </w:p>
    <w:p w14:paraId="0167AB09">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outlineLvl w:val="3"/>
        <w:rPr>
          <w:rFonts w:hint="eastAsia" w:ascii="楷体_GB2312" w:hAnsi="楷体_GB2312" w:eastAsia="楷体_GB2312" w:cs="楷体_GB2312"/>
          <w:b/>
          <w:bCs/>
          <w:color w:val="auto"/>
          <w:kern w:val="2"/>
          <w:sz w:val="32"/>
          <w:szCs w:val="32"/>
          <w:u w:val="none"/>
          <w:lang w:val="en-US" w:eastAsia="zh-CN" w:bidi="ar-SA"/>
        </w:rPr>
      </w:pPr>
      <w:r>
        <w:rPr>
          <w:rFonts w:hint="eastAsia" w:ascii="楷体_GB2312" w:hAnsi="楷体_GB2312" w:eastAsia="楷体_GB2312" w:cs="楷体_GB2312"/>
          <w:b/>
          <w:bCs/>
          <w:color w:val="auto"/>
          <w:kern w:val="2"/>
          <w:sz w:val="32"/>
          <w:szCs w:val="32"/>
          <w:u w:val="none"/>
          <w:lang w:val="en-US" w:eastAsia="zh-CN" w:bidi="ar-SA"/>
        </w:rPr>
        <w:t>（三）培育多元服务业态新动能</w:t>
      </w:r>
    </w:p>
    <w:p w14:paraId="31CDFE67">
      <w:pPr>
        <w:keepNext w:val="0"/>
        <w:keepLines w:val="0"/>
        <w:pageBreakBefore w:val="0"/>
        <w:widowControl w:val="0"/>
        <w:kinsoku/>
        <w:wordWrap/>
        <w:overflowPunct/>
        <w:topLinePunct w:val="0"/>
        <w:autoSpaceDE/>
        <w:autoSpaceDN/>
        <w:bidi w:val="0"/>
        <w:adjustRightInd w:val="0"/>
        <w:snapToGrid w:val="0"/>
        <w:spacing w:after="721" w:afterLines="200" w:line="560" w:lineRule="exact"/>
        <w:ind w:firstLine="643" w:firstLineChars="200"/>
        <w:textAlignment w:val="auto"/>
        <w:rPr>
          <w:rFonts w:hint="eastAsia" w:ascii="仿宋_GB2312" w:hAnsi="仿宋_GB2312" w:eastAsia="仿宋_GB2312" w:cs="仿宋_GB2312"/>
          <w:color w:val="auto"/>
          <w:kern w:val="2"/>
          <w:sz w:val="32"/>
          <w:szCs w:val="21"/>
          <w:u w:val="none"/>
          <w:lang w:val="en-US" w:eastAsia="zh-CN" w:bidi="ar-SA"/>
        </w:rPr>
      </w:pPr>
      <w:r>
        <w:rPr>
          <w:rFonts w:hint="eastAsia" w:ascii="仿宋_GB2312" w:hAnsi="仿宋_GB2312" w:eastAsia="仿宋_GB2312" w:cs="仿宋_GB2312"/>
          <w:b/>
          <w:bCs/>
          <w:color w:val="auto"/>
          <w:kern w:val="2"/>
          <w:sz w:val="32"/>
          <w:szCs w:val="21"/>
          <w:u w:val="none"/>
          <w:lang w:val="en-US" w:eastAsia="zh-CN" w:bidi="ar-SA"/>
        </w:rPr>
        <w:t>中介服务。</w:t>
      </w:r>
      <w:r>
        <w:rPr>
          <w:rFonts w:hint="eastAsia" w:ascii="仿宋_GB2312" w:hAnsi="仿宋_GB2312" w:eastAsia="仿宋_GB2312" w:cs="仿宋_GB2312"/>
          <w:color w:val="auto"/>
          <w:kern w:val="2"/>
          <w:sz w:val="32"/>
          <w:szCs w:val="21"/>
          <w:u w:val="none"/>
          <w:lang w:val="en-US" w:eastAsia="zh-CN" w:bidi="ar-SA"/>
        </w:rPr>
        <w:t>推动中介服务业专业化发展，增强法律咨询、会计审计、知识产权、人力资源等服务水平，拓展农业技术推广、环保咨询、数字营销等新兴中介服务。</w:t>
      </w:r>
      <w:r>
        <w:rPr>
          <w:rFonts w:hint="eastAsia" w:ascii="仿宋_GB2312" w:hAnsi="仿宋_GB2312" w:eastAsia="仿宋_GB2312" w:cs="仿宋_GB2312"/>
          <w:b/>
          <w:bCs/>
          <w:color w:val="auto"/>
          <w:kern w:val="2"/>
          <w:sz w:val="32"/>
          <w:szCs w:val="21"/>
          <w:u w:val="none"/>
          <w:lang w:val="en-US" w:eastAsia="zh-CN" w:bidi="ar-SA"/>
        </w:rPr>
        <w:t>家政服务。</w:t>
      </w:r>
      <w:r>
        <w:rPr>
          <w:rFonts w:hint="eastAsia" w:ascii="仿宋_GB2312" w:hAnsi="仿宋_GB2312" w:eastAsia="仿宋_GB2312" w:cs="仿宋_GB2312"/>
          <w:color w:val="auto"/>
          <w:kern w:val="2"/>
          <w:sz w:val="32"/>
          <w:szCs w:val="21"/>
          <w:u w:val="none"/>
          <w:lang w:val="en-US" w:eastAsia="zh-CN" w:bidi="ar-SA"/>
        </w:rPr>
        <w:t>推动家政服务标准化、规范化发展，实施家政服务员技能升级行动，推动家政服务进社区，统筹家政服务网点与社区婴幼儿照护设施一体化布局，构建便民服务网络。</w:t>
      </w:r>
      <w:r>
        <w:rPr>
          <w:rFonts w:hint="eastAsia" w:ascii="仿宋_GB2312" w:hAnsi="仿宋_GB2312" w:eastAsia="仿宋_GB2312" w:cs="仿宋_GB2312"/>
          <w:b/>
          <w:bCs/>
          <w:color w:val="auto"/>
          <w:kern w:val="2"/>
          <w:sz w:val="32"/>
          <w:szCs w:val="21"/>
          <w:u w:val="none"/>
          <w:lang w:val="en-US" w:eastAsia="zh-CN" w:bidi="ar-SA"/>
        </w:rPr>
        <w:t>情感健康服务。</w:t>
      </w:r>
      <w:r>
        <w:rPr>
          <w:rFonts w:hint="eastAsia" w:ascii="仿宋_GB2312" w:hAnsi="仿宋_GB2312" w:eastAsia="仿宋_GB2312" w:cs="仿宋_GB2312"/>
          <w:color w:val="auto"/>
          <w:kern w:val="2"/>
          <w:sz w:val="32"/>
          <w:szCs w:val="21"/>
          <w:u w:val="none"/>
          <w:lang w:val="en-US" w:eastAsia="zh-CN" w:bidi="ar-SA"/>
        </w:rPr>
        <w:t>立足生态资源禀赋，培育体育赛事经济，拓展户外休闲、运动康养等业态；发展宠物经济，延伸涵盖食品、医疗、美容、保险、智能用品等多元领域；发展花卉种植、景观设计、庭院改造等生活服务，丰富情感消费场景，释放服务消费潜力。</w:t>
      </w:r>
    </w:p>
    <w:tbl>
      <w:tblPr>
        <w:tblStyle w:val="2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74"/>
      </w:tblGrid>
      <w:tr w14:paraId="4A931B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jc w:val="center"/>
        </w:trPr>
        <w:tc>
          <w:tcPr>
            <w:tcW w:w="8674" w:type="dxa"/>
            <w:noWrap w:val="0"/>
            <w:vAlign w:val="center"/>
          </w:tcPr>
          <w:p w14:paraId="7AB1380D">
            <w:pPr>
              <w:keepNext w:val="0"/>
              <w:keepLines w:val="0"/>
              <w:pageBreakBefore w:val="0"/>
              <w:widowControl w:val="0"/>
              <w:suppressLineNumbers w:val="0"/>
              <w:kinsoku/>
              <w:wordWrap/>
              <w:overflowPunct/>
              <w:topLinePunct w:val="0"/>
              <w:autoSpaceDE/>
              <w:autoSpaceDN/>
              <w:bidi w:val="0"/>
              <w:adjustRightInd w:val="0"/>
              <w:snapToGrid w:val="0"/>
              <w:spacing w:beforeAutospacing="0" w:afterAutospacing="0" w:line="400" w:lineRule="exact"/>
              <w:ind w:left="0" w:right="0" w:firstLine="0" w:firstLineChars="0"/>
              <w:jc w:val="center"/>
              <w:textAlignment w:val="auto"/>
              <w:rPr>
                <w:rFonts w:hint="default" w:ascii="Times New Roman" w:hAnsi="Times New Roman" w:eastAsia="仿宋" w:cs="Times New Roman"/>
                <w:color w:val="auto"/>
                <w:sz w:val="28"/>
                <w:szCs w:val="28"/>
                <w:highlight w:val="none"/>
                <w:u w:val="none"/>
                <w:shd w:val="clear" w:color="auto" w:fill="FFFFFF"/>
              </w:rPr>
            </w:pPr>
            <w:r>
              <w:rPr>
                <w:rFonts w:hint="eastAsia" w:ascii="楷体_GB2312" w:hAnsi="楷体_GB2312" w:eastAsia="楷体_GB2312" w:cs="楷体_GB2312"/>
                <w:b/>
                <w:bCs w:val="0"/>
                <w:color w:val="auto"/>
                <w:sz w:val="28"/>
                <w:szCs w:val="28"/>
                <w:highlight w:val="none"/>
                <w:u w:val="none"/>
                <w:shd w:val="clear" w:color="auto" w:fill="FFFFFF"/>
              </w:rPr>
              <w:t>专栏</w:t>
            </w:r>
            <w:r>
              <w:rPr>
                <w:rFonts w:hint="eastAsia" w:ascii="楷体_GB2312" w:hAnsi="楷体_GB2312" w:eastAsia="楷体_GB2312" w:cs="楷体_GB2312"/>
                <w:b/>
                <w:bCs w:val="0"/>
                <w:color w:val="auto"/>
                <w:sz w:val="28"/>
                <w:szCs w:val="28"/>
                <w:highlight w:val="none"/>
                <w:u w:val="none"/>
                <w:shd w:val="clear" w:color="auto" w:fill="FFFFFF"/>
                <w:lang w:val="en-US" w:eastAsia="zh-CN"/>
              </w:rPr>
              <w:t>3-5</w:t>
            </w:r>
            <w:r>
              <w:rPr>
                <w:rFonts w:hint="eastAsia" w:ascii="楷体_GB2312" w:hAnsi="楷体_GB2312" w:eastAsia="楷体_GB2312" w:cs="楷体_GB2312"/>
                <w:b/>
                <w:bCs w:val="0"/>
                <w:color w:val="auto"/>
                <w:sz w:val="28"/>
                <w:szCs w:val="28"/>
                <w:highlight w:val="none"/>
                <w:u w:val="none"/>
                <w:shd w:val="clear" w:color="auto" w:fill="FFFFFF"/>
              </w:rPr>
              <w:t>：“十</w:t>
            </w:r>
            <w:r>
              <w:rPr>
                <w:rFonts w:hint="eastAsia" w:ascii="楷体_GB2312" w:hAnsi="楷体_GB2312" w:eastAsia="楷体_GB2312" w:cs="楷体_GB2312"/>
                <w:b/>
                <w:bCs w:val="0"/>
                <w:color w:val="auto"/>
                <w:sz w:val="28"/>
                <w:szCs w:val="28"/>
                <w:highlight w:val="none"/>
                <w:u w:val="none"/>
                <w:shd w:val="clear" w:color="auto" w:fill="FFFFFF"/>
                <w:lang w:val="en-US" w:eastAsia="zh-CN"/>
              </w:rPr>
              <w:t>五</w:t>
            </w:r>
            <w:r>
              <w:rPr>
                <w:rFonts w:hint="eastAsia" w:ascii="楷体_GB2312" w:hAnsi="楷体_GB2312" w:eastAsia="楷体_GB2312" w:cs="楷体_GB2312"/>
                <w:b/>
                <w:bCs w:val="0"/>
                <w:color w:val="auto"/>
                <w:sz w:val="28"/>
                <w:szCs w:val="28"/>
                <w:highlight w:val="none"/>
                <w:u w:val="none"/>
                <w:shd w:val="clear" w:color="auto" w:fill="FFFFFF"/>
              </w:rPr>
              <w:t>五”</w:t>
            </w:r>
            <w:r>
              <w:rPr>
                <w:rFonts w:hint="eastAsia" w:ascii="楷体_GB2312" w:hAnsi="楷体_GB2312" w:eastAsia="楷体_GB2312" w:cs="楷体_GB2312"/>
                <w:b/>
                <w:bCs w:val="0"/>
                <w:color w:val="auto"/>
                <w:sz w:val="28"/>
                <w:szCs w:val="28"/>
                <w:highlight w:val="none"/>
                <w:u w:val="none"/>
                <w:shd w:val="clear" w:color="auto" w:fill="FFFFFF"/>
                <w:lang w:val="en-US" w:eastAsia="zh-CN"/>
              </w:rPr>
              <w:t>期间生活性服务业</w:t>
            </w:r>
            <w:r>
              <w:rPr>
                <w:rFonts w:hint="eastAsia" w:ascii="楷体_GB2312" w:hAnsi="楷体_GB2312" w:eastAsia="楷体_GB2312" w:cs="楷体_GB2312"/>
                <w:b/>
                <w:bCs w:val="0"/>
                <w:color w:val="auto"/>
                <w:sz w:val="28"/>
                <w:szCs w:val="28"/>
                <w:highlight w:val="none"/>
                <w:u w:val="none"/>
                <w:shd w:val="clear" w:color="auto" w:fill="FFFFFF"/>
              </w:rPr>
              <w:t>重点项目</w:t>
            </w:r>
          </w:p>
        </w:tc>
      </w:tr>
      <w:tr w14:paraId="058526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jc w:val="center"/>
        </w:trPr>
        <w:tc>
          <w:tcPr>
            <w:tcW w:w="8674" w:type="dxa"/>
            <w:noWrap w:val="0"/>
            <w:vAlign w:val="center"/>
          </w:tcPr>
          <w:p w14:paraId="24283376">
            <w:pPr>
              <w:keepNext w:val="0"/>
              <w:keepLines w:val="0"/>
              <w:pageBreakBefore w:val="0"/>
              <w:widowControl w:val="0"/>
              <w:suppressLineNumbers w:val="0"/>
              <w:kinsoku/>
              <w:wordWrap/>
              <w:overflowPunct/>
              <w:topLinePunct w:val="0"/>
              <w:autoSpaceDE/>
              <w:autoSpaceDN/>
              <w:bidi w:val="0"/>
              <w:adjustRightInd w:val="0"/>
              <w:snapToGrid w:val="0"/>
              <w:spacing w:beforeAutospacing="0" w:afterAutospacing="0" w:line="400" w:lineRule="exact"/>
              <w:ind w:left="0" w:right="0" w:firstLine="562" w:firstLineChars="200"/>
              <w:jc w:val="both"/>
              <w:textAlignment w:val="auto"/>
              <w:rPr>
                <w:rFonts w:hint="default" w:ascii="Times New Roman" w:hAnsi="Times New Roman" w:eastAsia="仿宋_GB2312" w:cs="Times New Roman"/>
                <w:b w:val="0"/>
                <w:bCs w:val="0"/>
                <w:color w:val="auto"/>
                <w:kern w:val="2"/>
                <w:sz w:val="28"/>
                <w:szCs w:val="28"/>
                <w:highlight w:val="none"/>
                <w:u w:val="none"/>
                <w:lang w:val="en-US" w:eastAsia="zh-CN" w:bidi="ar-SA"/>
              </w:rPr>
            </w:pPr>
            <w:r>
              <w:rPr>
                <w:rFonts w:hint="eastAsia" w:ascii="Times New Roman" w:hAnsi="Times New Roman" w:eastAsia="仿宋_GB2312" w:cs="Times New Roman"/>
                <w:b/>
                <w:bCs/>
                <w:color w:val="auto"/>
                <w:kern w:val="2"/>
                <w:sz w:val="28"/>
                <w:szCs w:val="28"/>
                <w:highlight w:val="none"/>
                <w:u w:val="none"/>
                <w:lang w:val="en-US" w:eastAsia="zh-CN" w:bidi="ar-SA"/>
              </w:rPr>
              <w:t>现代商贸业：重点实施</w:t>
            </w:r>
            <w:r>
              <w:rPr>
                <w:rFonts w:hint="eastAsia" w:ascii="Times New Roman" w:hAnsi="Times New Roman" w:eastAsia="仿宋_GB2312" w:cs="Times New Roman"/>
                <w:b w:val="0"/>
                <w:bCs w:val="0"/>
                <w:color w:val="auto"/>
                <w:kern w:val="2"/>
                <w:sz w:val="28"/>
                <w:szCs w:val="28"/>
                <w:highlight w:val="none"/>
                <w:u w:val="none"/>
                <w:lang w:val="en-US" w:eastAsia="zh-CN" w:bidi="ar-SA"/>
              </w:rPr>
              <w:t>万鹤赉商贸中心改造项目。</w:t>
            </w:r>
          </w:p>
          <w:p w14:paraId="3896BC98">
            <w:pPr>
              <w:keepNext w:val="0"/>
              <w:keepLines w:val="0"/>
              <w:pageBreakBefore w:val="0"/>
              <w:widowControl w:val="0"/>
              <w:suppressLineNumbers w:val="0"/>
              <w:kinsoku/>
              <w:wordWrap/>
              <w:overflowPunct/>
              <w:topLinePunct w:val="0"/>
              <w:autoSpaceDE/>
              <w:autoSpaceDN/>
              <w:bidi w:val="0"/>
              <w:adjustRightInd w:val="0"/>
              <w:snapToGrid w:val="0"/>
              <w:spacing w:beforeAutospacing="0" w:afterAutospacing="0" w:line="400" w:lineRule="exact"/>
              <w:ind w:left="0" w:right="0" w:firstLine="562" w:firstLineChars="200"/>
              <w:jc w:val="both"/>
              <w:textAlignment w:val="auto"/>
              <w:rPr>
                <w:rFonts w:hint="eastAsia"/>
                <w:lang w:val="en-US" w:eastAsia="zh-CN"/>
              </w:rPr>
            </w:pPr>
            <w:r>
              <w:rPr>
                <w:rFonts w:hint="eastAsia" w:ascii="Times New Roman" w:hAnsi="Times New Roman" w:eastAsia="仿宋_GB2312" w:cs="Times New Roman"/>
                <w:b/>
                <w:bCs/>
                <w:color w:val="auto"/>
                <w:kern w:val="2"/>
                <w:sz w:val="28"/>
                <w:szCs w:val="28"/>
                <w:highlight w:val="none"/>
                <w:u w:val="none"/>
                <w:lang w:val="en-US" w:eastAsia="zh-CN" w:bidi="ar-SA"/>
              </w:rPr>
              <w:t>银发经济：重点实施</w:t>
            </w:r>
            <w:r>
              <w:rPr>
                <w:rFonts w:hint="eastAsia" w:ascii="Times New Roman" w:hAnsi="Times New Roman" w:eastAsia="仿宋_GB2312" w:cs="Times New Roman"/>
                <w:b w:val="0"/>
                <w:bCs w:val="0"/>
                <w:color w:val="auto"/>
                <w:kern w:val="2"/>
                <w:sz w:val="28"/>
                <w:szCs w:val="28"/>
                <w:highlight w:val="none"/>
                <w:u w:val="none"/>
                <w:lang w:val="en-US" w:eastAsia="zh-CN" w:bidi="ar-SA"/>
              </w:rPr>
              <w:t>扶沟县养老服务网络基础设施建设项目。</w:t>
            </w:r>
          </w:p>
        </w:tc>
      </w:tr>
    </w:tbl>
    <w:p w14:paraId="51B06B07">
      <w:pPr>
        <w:keepNext/>
        <w:keepLines/>
        <w:pageBreakBefore w:val="0"/>
        <w:widowControl w:val="0"/>
        <w:numPr>
          <w:ilvl w:val="0"/>
          <w:numId w:val="0"/>
        </w:numPr>
        <w:kinsoku/>
        <w:wordWrap/>
        <w:overflowPunct/>
        <w:topLinePunct w:val="0"/>
        <w:autoSpaceDE/>
        <w:autoSpaceDN/>
        <w:bidi w:val="0"/>
        <w:adjustRightInd w:val="0"/>
        <w:snapToGrid w:val="0"/>
        <w:spacing w:before="361" w:beforeLines="100" w:after="156" w:afterLines="50" w:line="560" w:lineRule="exact"/>
        <w:ind w:leftChars="0"/>
        <w:jc w:val="center"/>
        <w:textAlignment w:val="auto"/>
        <w:outlineLvl w:val="2"/>
        <w:rPr>
          <w:rFonts w:hint="eastAsia" w:ascii="Times New Roman" w:hAnsi="Times New Roman" w:eastAsia="黑体" w:cs="Times New Roman"/>
          <w:b/>
          <w:bCs/>
          <w:color w:val="auto"/>
          <w:kern w:val="2"/>
          <w:sz w:val="32"/>
          <w:szCs w:val="32"/>
          <w:highlight w:val="none"/>
          <w:u w:val="none"/>
          <w:lang w:val="en-US" w:eastAsia="zh-CN" w:bidi="ar-SA"/>
        </w:rPr>
      </w:pPr>
      <w:bookmarkStart w:id="112" w:name="_Toc18587"/>
      <w:bookmarkStart w:id="113" w:name="_Toc4034"/>
      <w:bookmarkStart w:id="114" w:name="_Toc22963"/>
      <w:r>
        <w:rPr>
          <w:rFonts w:hint="eastAsia" w:ascii="Times New Roman" w:hAnsi="Times New Roman" w:eastAsia="黑体" w:cs="Times New Roman"/>
          <w:b/>
          <w:bCs/>
          <w:color w:val="auto"/>
          <w:kern w:val="2"/>
          <w:sz w:val="32"/>
          <w:szCs w:val="32"/>
          <w:highlight w:val="none"/>
          <w:u w:val="none"/>
          <w:lang w:val="en-US" w:eastAsia="zh-CN" w:bidi="ar-SA"/>
        </w:rPr>
        <w:t>第五节提升产业支撑能力</w:t>
      </w:r>
      <w:bookmarkEnd w:id="112"/>
      <w:bookmarkEnd w:id="113"/>
      <w:bookmarkEnd w:id="114"/>
    </w:p>
    <w:p w14:paraId="6DD32670">
      <w:pPr>
        <w:pageBreakBefore w:val="0"/>
        <w:kinsoku/>
        <w:wordWrap/>
        <w:overflowPunct/>
        <w:topLinePunct w:val="0"/>
        <w:autoSpaceDE/>
        <w:bidi w:val="0"/>
        <w:adjustRightInd w:val="0"/>
        <w:snapToGrid w:val="0"/>
        <w:spacing w:line="560" w:lineRule="exact"/>
        <w:ind w:firstLine="640" w:firstLineChars="200"/>
        <w:textAlignment w:val="auto"/>
        <w:rPr>
          <w:rFonts w:hint="eastAsia" w:ascii="仿宋_GB2312" w:hAnsi="仿宋_GB2312" w:eastAsia="仿宋_GB2312" w:cs="仿宋_GB2312"/>
          <w:color w:val="auto"/>
          <w:kern w:val="2"/>
          <w:sz w:val="32"/>
          <w:szCs w:val="21"/>
          <w:u w:val="none"/>
          <w:lang w:val="en-US" w:eastAsia="zh-CN" w:bidi="ar-SA"/>
        </w:rPr>
      </w:pPr>
      <w:r>
        <w:rPr>
          <w:rFonts w:hint="default" w:ascii="仿宋_GB2312" w:hAnsi="仿宋_GB2312" w:eastAsia="仿宋_GB2312" w:cs="仿宋_GB2312"/>
          <w:color w:val="auto"/>
          <w:kern w:val="2"/>
          <w:sz w:val="32"/>
          <w:szCs w:val="21"/>
          <w:u w:val="none"/>
          <w:lang w:val="en-US" w:eastAsia="zh-CN" w:bidi="ar-SA"/>
        </w:rPr>
        <w:t>锚定产业现代化转型，聚力升级产业发展载体，培育产业发展生态，强力支撑产业高质量发展</w:t>
      </w:r>
      <w:r>
        <w:rPr>
          <w:rFonts w:hint="eastAsia" w:ascii="仿宋_GB2312" w:hAnsi="仿宋_GB2312" w:eastAsia="仿宋_GB2312" w:cs="仿宋_GB2312"/>
          <w:color w:val="auto"/>
          <w:kern w:val="2"/>
          <w:sz w:val="32"/>
          <w:szCs w:val="21"/>
          <w:u w:val="none"/>
          <w:lang w:val="en-US" w:eastAsia="zh-CN" w:bidi="ar-SA"/>
        </w:rPr>
        <w:t>。</w:t>
      </w:r>
    </w:p>
    <w:p w14:paraId="53A8F251">
      <w:pPr>
        <w:pageBreakBefore w:val="0"/>
        <w:kinsoku/>
        <w:wordWrap/>
        <w:overflowPunct/>
        <w:topLinePunct w:val="0"/>
        <w:autoSpaceDE/>
        <w:bidi w:val="0"/>
        <w:adjustRightInd w:val="0"/>
        <w:snapToGrid w:val="0"/>
        <w:spacing w:line="560" w:lineRule="exact"/>
        <w:ind w:firstLine="643" w:firstLineChars="200"/>
        <w:textAlignment w:val="auto"/>
        <w:rPr>
          <w:rFonts w:hint="eastAsia" w:ascii="仿宋_GB2312" w:hAnsi="仿宋_GB2312" w:eastAsia="仿宋_GB2312" w:cs="仿宋_GB2312"/>
          <w:color w:val="auto"/>
          <w:kern w:val="2"/>
          <w:sz w:val="32"/>
          <w:szCs w:val="21"/>
          <w:u w:val="none"/>
          <w:lang w:val="en-US" w:eastAsia="zh-CN" w:bidi="ar-SA"/>
        </w:rPr>
      </w:pPr>
      <w:r>
        <w:rPr>
          <w:rFonts w:hint="eastAsia" w:ascii="楷体_GB2312" w:hAnsi="楷体_GB2312" w:eastAsia="楷体_GB2312" w:cs="楷体_GB2312"/>
          <w:b/>
          <w:bCs/>
          <w:color w:val="auto"/>
          <w:kern w:val="2"/>
          <w:sz w:val="32"/>
          <w:szCs w:val="32"/>
          <w:u w:val="none"/>
          <w:lang w:val="en-US" w:eastAsia="zh-CN" w:bidi="ar-SA"/>
        </w:rPr>
        <w:t>加速重大项目落地见效。</w:t>
      </w:r>
      <w:r>
        <w:rPr>
          <w:rFonts w:hint="eastAsia" w:ascii="仿宋_GB2312" w:hAnsi="仿宋_GB2312" w:eastAsia="仿宋_GB2312" w:cs="仿宋_GB2312"/>
          <w:color w:val="auto"/>
          <w:kern w:val="2"/>
          <w:sz w:val="32"/>
          <w:szCs w:val="21"/>
          <w:u w:val="none"/>
          <w:lang w:val="en-US" w:eastAsia="zh-CN" w:bidi="ar-SA"/>
        </w:rPr>
        <w:t>积极融入服务全国统一大市场建设，在统一大市场的条件下寻求招商引资和产业发展的有效路径。大力推进招商引资“一号工程”，围绕蔬菜产业、装备制造、纺织服装、现代食品、新能源、新材料、数字经济重点发展方向，立足自身产业基础和比较优势精准招商，推动一批补链强链项目加速落地。聚焦项目落地中的土地、资金等堵点，加快规划调整与资金保障，培育新质生产力，提升产业发展能级。建立重大项目包保机制，明确职责，全流程服务项目策划、审批、建设及运营，及时解决土地、环保、资金等问题，对手续办理缓慢项目开辟绿色通道。建立进度跟踪与评估机制，强化质量与安全监管。深化完善城市更新项目库，注重老城区改造，完善城市功能配套，注重以产业带动更新，完善产业生态，打造产业社区。</w:t>
      </w:r>
    </w:p>
    <w:p w14:paraId="273364A5">
      <w:pPr>
        <w:pageBreakBefore w:val="0"/>
        <w:kinsoku/>
        <w:wordWrap/>
        <w:overflowPunct/>
        <w:topLinePunct w:val="0"/>
        <w:autoSpaceDE/>
        <w:bidi w:val="0"/>
        <w:adjustRightInd w:val="0"/>
        <w:snapToGrid w:val="0"/>
        <w:spacing w:line="560" w:lineRule="exact"/>
        <w:ind w:firstLine="643" w:firstLineChars="200"/>
        <w:textAlignment w:val="auto"/>
        <w:rPr>
          <w:rFonts w:hint="default" w:ascii="仿宋_GB2312" w:hAnsi="仿宋_GB2312" w:eastAsia="仿宋_GB2312" w:cs="仿宋_GB2312"/>
          <w:color w:val="auto"/>
          <w:kern w:val="2"/>
          <w:sz w:val="32"/>
          <w:szCs w:val="21"/>
          <w:u w:val="none"/>
          <w:lang w:val="en-US" w:eastAsia="zh-CN" w:bidi="ar-SA"/>
        </w:rPr>
      </w:pPr>
      <w:r>
        <w:rPr>
          <w:rFonts w:hint="eastAsia" w:ascii="楷体_GB2312" w:hAnsi="楷体_GB2312" w:eastAsia="楷体_GB2312" w:cs="楷体_GB2312"/>
          <w:b/>
          <w:bCs/>
          <w:color w:val="auto"/>
          <w:kern w:val="2"/>
          <w:sz w:val="32"/>
          <w:szCs w:val="32"/>
          <w:u w:val="none"/>
          <w:lang w:val="en-US" w:eastAsia="zh-CN" w:bidi="ar-SA"/>
        </w:rPr>
        <w:t>推动产品质量提升和品牌建设</w:t>
      </w:r>
      <w:r>
        <w:rPr>
          <w:rFonts w:hint="default" w:ascii="楷体_GB2312" w:hAnsi="楷体_GB2312" w:eastAsia="楷体_GB2312" w:cs="楷体_GB2312"/>
          <w:b/>
          <w:bCs/>
          <w:color w:val="auto"/>
          <w:kern w:val="2"/>
          <w:sz w:val="32"/>
          <w:szCs w:val="32"/>
          <w:u w:val="none"/>
          <w:lang w:val="en-US" w:eastAsia="zh-CN" w:bidi="ar-SA"/>
        </w:rPr>
        <w:t>。</w:t>
      </w:r>
      <w:r>
        <w:rPr>
          <w:rFonts w:hint="default" w:ascii="仿宋_GB2312" w:hAnsi="仿宋_GB2312" w:eastAsia="仿宋_GB2312" w:cs="仿宋_GB2312"/>
          <w:color w:val="auto"/>
          <w:kern w:val="2"/>
          <w:sz w:val="32"/>
          <w:szCs w:val="21"/>
          <w:u w:val="none"/>
          <w:lang w:val="en-US" w:eastAsia="zh-CN" w:bidi="ar-SA"/>
        </w:rPr>
        <w:t>聚焦装备制造、纺织服装两大主导产业，推动汽车零部件向新能源配套转型，实现铝合金汽车轮毂等核心产品质量达标率100%；纺织行业开发绿色有机棉、高端印染面料等产品，提升产品附加值。做强“扶沟蔬菜”区域公共品牌，培育工业品牌，支持金泰金属、水天服装等企业创建中国驰名商标、河南著名商标，打造“扶沟制造”品牌集群。开展“质量标杆企业”评选，培育省级质量标杆企业，推广先进质量管理经验；在蔬菜产业打造10个标准化种植示范园区，工业领域建设智能工厂（车间）6个，以标杆引领整体质量提升。</w:t>
      </w:r>
    </w:p>
    <w:p w14:paraId="69866F4A">
      <w:pPr>
        <w:pageBreakBefore w:val="0"/>
        <w:kinsoku/>
        <w:wordWrap/>
        <w:overflowPunct/>
        <w:topLinePunct w:val="0"/>
        <w:autoSpaceDE/>
        <w:bidi w:val="0"/>
        <w:adjustRightInd w:val="0"/>
        <w:snapToGrid w:val="0"/>
        <w:spacing w:line="560" w:lineRule="exact"/>
        <w:ind w:firstLine="643" w:firstLineChars="200"/>
        <w:textAlignment w:val="auto"/>
        <w:rPr>
          <w:rFonts w:hint="eastAsia" w:ascii="仿宋_GB2312" w:hAnsi="仿宋_GB2312" w:eastAsia="仿宋_GB2312" w:cs="仿宋_GB2312"/>
          <w:color w:val="auto"/>
          <w:kern w:val="2"/>
          <w:sz w:val="32"/>
          <w:szCs w:val="21"/>
          <w:u w:val="none"/>
          <w:lang w:val="en-US" w:eastAsia="zh-CN" w:bidi="ar-SA"/>
        </w:rPr>
      </w:pPr>
      <w:r>
        <w:rPr>
          <w:rFonts w:hint="default" w:ascii="楷体_GB2312" w:hAnsi="楷体_GB2312" w:eastAsia="楷体_GB2312" w:cs="楷体_GB2312"/>
          <w:b/>
          <w:bCs/>
          <w:color w:val="auto"/>
          <w:kern w:val="2"/>
          <w:sz w:val="32"/>
          <w:szCs w:val="32"/>
          <w:u w:val="none"/>
          <w:lang w:val="en-US" w:eastAsia="zh-CN" w:bidi="ar-SA"/>
        </w:rPr>
        <w:t>高效盘活闲置资源。</w:t>
      </w:r>
      <w:r>
        <w:rPr>
          <w:rFonts w:hint="default" w:ascii="仿宋_GB2312" w:hAnsi="仿宋_GB2312" w:eastAsia="仿宋_GB2312" w:cs="仿宋_GB2312"/>
          <w:color w:val="auto"/>
          <w:kern w:val="2"/>
          <w:sz w:val="32"/>
          <w:szCs w:val="21"/>
          <w:u w:val="none"/>
          <w:lang w:val="en-US" w:eastAsia="zh-CN" w:bidi="ar-SA"/>
        </w:rPr>
        <w:t>建立部门联动机制，合力攻坚克难。全面清查闲置土地、楼宇等资源，建立台账明确位置、面积等信息，分类指导支撑盘活利用，</w:t>
      </w:r>
      <w:r>
        <w:rPr>
          <w:rFonts w:hint="eastAsia" w:ascii="仿宋_GB2312" w:hAnsi="仿宋_GB2312" w:eastAsia="仿宋_GB2312" w:cs="仿宋_GB2312"/>
          <w:color w:val="auto"/>
          <w:kern w:val="2"/>
          <w:sz w:val="32"/>
          <w:szCs w:val="21"/>
          <w:u w:val="none"/>
          <w:lang w:val="en-US" w:eastAsia="zh-CN" w:bidi="ar-SA"/>
        </w:rPr>
        <w:t>闲置厂房如旭旺无纺布、全优机械引入企业，盘活资源用于产业发展；</w:t>
      </w:r>
      <w:r>
        <w:rPr>
          <w:rFonts w:hint="default" w:ascii="仿宋_GB2312" w:hAnsi="仿宋_GB2312" w:eastAsia="仿宋_GB2312" w:cs="仿宋_GB2312"/>
          <w:color w:val="auto"/>
          <w:kern w:val="2"/>
          <w:sz w:val="32"/>
          <w:szCs w:val="21"/>
          <w:u w:val="none"/>
          <w:lang w:val="en-US" w:eastAsia="zh-CN" w:bidi="ar-SA"/>
        </w:rPr>
        <w:t>闲置楼宇</w:t>
      </w:r>
      <w:r>
        <w:rPr>
          <w:rFonts w:hint="eastAsia" w:ascii="仿宋_GB2312" w:hAnsi="仿宋_GB2312" w:eastAsia="仿宋_GB2312" w:cs="仿宋_GB2312"/>
          <w:color w:val="auto"/>
          <w:kern w:val="2"/>
          <w:sz w:val="32"/>
          <w:szCs w:val="21"/>
          <w:u w:val="none"/>
          <w:lang w:val="en-US" w:eastAsia="zh-CN" w:bidi="ar-SA"/>
        </w:rPr>
        <w:t>如豫东医院、鸿昌医养结合中心</w:t>
      </w:r>
      <w:r>
        <w:rPr>
          <w:rFonts w:hint="default" w:ascii="仿宋_GB2312" w:hAnsi="仿宋_GB2312" w:eastAsia="仿宋_GB2312" w:cs="仿宋_GB2312"/>
          <w:color w:val="auto"/>
          <w:kern w:val="2"/>
          <w:sz w:val="32"/>
          <w:szCs w:val="21"/>
          <w:u w:val="none"/>
          <w:lang w:val="en-US" w:eastAsia="zh-CN" w:bidi="ar-SA"/>
        </w:rPr>
        <w:t>引入</w:t>
      </w:r>
      <w:r>
        <w:rPr>
          <w:rFonts w:hint="eastAsia" w:ascii="仿宋_GB2312" w:hAnsi="仿宋_GB2312" w:eastAsia="仿宋_GB2312" w:cs="仿宋_GB2312"/>
          <w:color w:val="auto"/>
          <w:kern w:val="2"/>
          <w:sz w:val="32"/>
          <w:szCs w:val="21"/>
          <w:u w:val="none"/>
          <w:lang w:val="en-US" w:eastAsia="zh-CN" w:bidi="ar-SA"/>
        </w:rPr>
        <w:t>平台公司</w:t>
      </w:r>
      <w:r>
        <w:rPr>
          <w:rFonts w:hint="default" w:ascii="仿宋_GB2312" w:hAnsi="仿宋_GB2312" w:eastAsia="仿宋_GB2312" w:cs="仿宋_GB2312"/>
          <w:color w:val="auto"/>
          <w:kern w:val="2"/>
          <w:sz w:val="32"/>
          <w:szCs w:val="21"/>
          <w:u w:val="none"/>
          <w:lang w:val="en-US" w:eastAsia="zh-CN" w:bidi="ar-SA"/>
        </w:rPr>
        <w:t>、改造为双创载体或发展楼宇经济。根据闲置资源的原因和特点，成立平台公司分管盘活工作，引导闲置资产、低效土地的所有权人通过房东变股东、先租后买等新模式开展二次招商，以招商引资为抓手，以</w:t>
      </w:r>
      <w:r>
        <w:rPr>
          <w:rFonts w:hint="eastAsia" w:ascii="仿宋_GB2312" w:hAnsi="仿宋_GB2312" w:eastAsia="仿宋_GB2312" w:cs="仿宋_GB2312"/>
          <w:color w:val="auto"/>
          <w:kern w:val="2"/>
          <w:sz w:val="32"/>
          <w:szCs w:val="21"/>
          <w:u w:val="none"/>
          <w:lang w:val="en-US" w:eastAsia="zh-CN" w:bidi="ar-SA"/>
        </w:rPr>
        <w:t>产业发展</w:t>
      </w:r>
      <w:r>
        <w:rPr>
          <w:rFonts w:hint="default" w:ascii="仿宋_GB2312" w:hAnsi="仿宋_GB2312" w:eastAsia="仿宋_GB2312" w:cs="仿宋_GB2312"/>
          <w:color w:val="auto"/>
          <w:kern w:val="2"/>
          <w:sz w:val="32"/>
          <w:szCs w:val="21"/>
          <w:u w:val="none"/>
          <w:lang w:val="en-US" w:eastAsia="zh-CN" w:bidi="ar-SA"/>
        </w:rPr>
        <w:t>为契机，以城市更新为引擎，助推闲置资源精准盘活</w:t>
      </w:r>
      <w:r>
        <w:rPr>
          <w:rFonts w:hint="eastAsia" w:ascii="仿宋_GB2312" w:hAnsi="仿宋_GB2312" w:eastAsia="仿宋_GB2312" w:cs="仿宋_GB2312"/>
          <w:color w:val="auto"/>
          <w:kern w:val="2"/>
          <w:sz w:val="32"/>
          <w:szCs w:val="21"/>
          <w:u w:val="none"/>
          <w:lang w:val="en-US" w:eastAsia="zh-CN" w:bidi="ar-SA"/>
        </w:rPr>
        <w:t>。</w:t>
      </w:r>
    </w:p>
    <w:p w14:paraId="0E5120F0">
      <w:pPr>
        <w:keepNext w:val="0"/>
        <w:keepLines w:val="0"/>
        <w:pageBreakBefore w:val="0"/>
        <w:widowControl w:val="0"/>
        <w:kinsoku/>
        <w:wordWrap/>
        <w:overflowPunct/>
        <w:topLinePunct w:val="0"/>
        <w:autoSpaceDE/>
        <w:autoSpaceDN/>
        <w:bidi w:val="0"/>
        <w:adjustRightInd w:val="0"/>
        <w:snapToGrid w:val="0"/>
        <w:spacing w:after="721" w:afterLines="200" w:line="560" w:lineRule="exact"/>
        <w:ind w:firstLine="643" w:firstLineChars="200"/>
        <w:textAlignment w:val="auto"/>
        <w:rPr>
          <w:rFonts w:hint="eastAsia" w:ascii="仿宋_GB2312" w:hAnsi="仿宋_GB2312" w:eastAsia="仿宋_GB2312" w:cs="仿宋_GB2312"/>
          <w:color w:val="auto"/>
          <w:kern w:val="2"/>
          <w:sz w:val="32"/>
          <w:szCs w:val="21"/>
          <w:u w:val="none"/>
          <w:lang w:val="en-US" w:eastAsia="zh-CN" w:bidi="ar-SA"/>
        </w:rPr>
      </w:pPr>
      <w:r>
        <w:rPr>
          <w:rFonts w:hint="eastAsia" w:ascii="楷体_GB2312" w:hAnsi="楷体_GB2312" w:eastAsia="楷体_GB2312" w:cs="楷体_GB2312"/>
          <w:b/>
          <w:bCs/>
          <w:color w:val="auto"/>
          <w:kern w:val="2"/>
          <w:sz w:val="32"/>
          <w:szCs w:val="32"/>
          <w:u w:val="none"/>
          <w:lang w:val="en-US" w:eastAsia="zh-CN" w:bidi="ar-SA"/>
        </w:rPr>
        <w:t>强化数智赋能产业转型。</w:t>
      </w:r>
      <w:r>
        <w:rPr>
          <w:rFonts w:hint="eastAsia" w:ascii="仿宋_GB2312" w:hAnsi="仿宋_GB2312" w:eastAsia="仿宋_GB2312" w:cs="仿宋_GB2312"/>
          <w:color w:val="auto"/>
          <w:kern w:val="2"/>
          <w:sz w:val="32"/>
          <w:szCs w:val="21"/>
          <w:u w:val="none"/>
          <w:lang w:val="en-US" w:eastAsia="zh-CN" w:bidi="ar-SA"/>
        </w:rPr>
        <w:t>深入贯彻“一转带三化”战略，全力推动制造业、农业、服务业向高端化、绿色化、智能化迈进。加强企业数字化赋能，实现规模以上制造业企业数字化诊断全覆盖，推动智能应用场景在汽车零部件、纺织印染等主导产业的普及渗透。布局数字农业、工业互联网、电商直播等数字经济新赛道，打造“扶沟智谷”创新生态。加快推进产业数字化转型，依托“双创”中心，构建“工业互联网+智能制造”体系，推动规上工业企业研发活动覆盖率保持在90%以上，智能化改造项目年均增长20%；深化与河南工程学院、中原农谷等合作，建设蔬菜产业智慧研发基地、数字化育苗工厂，实现蔬菜种植、加工、物流全链条数字赋能，推动特色产业数字化转型提速。依托京东智慧物流港、海选电商直播基地等平台，建设农产品直播电商产业园、智慧物流枢纽，培育一批电商村、电商人才，形成“数字赋能+品牌打造+产销对接”的产业闭环。推进数字基础设施建设，推动6G网络城乡建设，完善“桐禾智慧教育平台”“智慧养老服务平台”等数字化载体，推动政务数据与企业数据、民生数据共享互通，赋能智慧交通、智慧城管、智慧农业等场景深度应用，以数智转型激活县域经济高质量发展新动能。</w:t>
      </w:r>
    </w:p>
    <w:tbl>
      <w:tblPr>
        <w:tblStyle w:val="2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74"/>
      </w:tblGrid>
      <w:tr w14:paraId="6D0102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jc w:val="center"/>
        </w:trPr>
        <w:tc>
          <w:tcPr>
            <w:tcW w:w="8674" w:type="dxa"/>
            <w:noWrap w:val="0"/>
            <w:vAlign w:val="center"/>
          </w:tcPr>
          <w:p w14:paraId="73CCE3EC">
            <w:pPr>
              <w:keepNext w:val="0"/>
              <w:keepLines w:val="0"/>
              <w:pageBreakBefore w:val="0"/>
              <w:widowControl w:val="0"/>
              <w:suppressLineNumbers w:val="0"/>
              <w:kinsoku/>
              <w:wordWrap/>
              <w:overflowPunct/>
              <w:topLinePunct w:val="0"/>
              <w:autoSpaceDE/>
              <w:autoSpaceDN/>
              <w:bidi w:val="0"/>
              <w:adjustRightInd w:val="0"/>
              <w:snapToGrid w:val="0"/>
              <w:spacing w:beforeAutospacing="0" w:afterAutospacing="0" w:line="400" w:lineRule="exact"/>
              <w:ind w:left="0" w:right="0" w:firstLine="0" w:firstLineChars="0"/>
              <w:jc w:val="center"/>
              <w:textAlignment w:val="auto"/>
              <w:rPr>
                <w:rFonts w:hint="default" w:ascii="Times New Roman" w:hAnsi="Times New Roman" w:eastAsia="仿宋" w:cs="Times New Roman"/>
                <w:color w:val="auto"/>
                <w:sz w:val="28"/>
                <w:szCs w:val="28"/>
                <w:highlight w:val="none"/>
                <w:u w:val="none"/>
                <w:shd w:val="clear" w:color="auto" w:fill="FFFFFF"/>
              </w:rPr>
            </w:pPr>
            <w:r>
              <w:rPr>
                <w:rFonts w:hint="eastAsia" w:ascii="楷体_GB2312" w:hAnsi="楷体_GB2312" w:eastAsia="楷体_GB2312" w:cs="楷体_GB2312"/>
                <w:b/>
                <w:bCs w:val="0"/>
                <w:color w:val="auto"/>
                <w:sz w:val="28"/>
                <w:szCs w:val="28"/>
                <w:highlight w:val="none"/>
                <w:u w:val="none"/>
                <w:shd w:val="clear" w:color="auto" w:fill="FFFFFF"/>
              </w:rPr>
              <w:t>专栏</w:t>
            </w:r>
            <w:r>
              <w:rPr>
                <w:rFonts w:hint="eastAsia" w:ascii="楷体_GB2312" w:hAnsi="楷体_GB2312" w:eastAsia="楷体_GB2312" w:cs="楷体_GB2312"/>
                <w:b/>
                <w:bCs w:val="0"/>
                <w:color w:val="auto"/>
                <w:sz w:val="28"/>
                <w:szCs w:val="28"/>
                <w:highlight w:val="none"/>
                <w:u w:val="none"/>
                <w:shd w:val="clear" w:color="auto" w:fill="FFFFFF"/>
                <w:lang w:val="en-US" w:eastAsia="zh-CN"/>
              </w:rPr>
              <w:t>3-6</w:t>
            </w:r>
            <w:r>
              <w:rPr>
                <w:rFonts w:hint="eastAsia" w:ascii="楷体_GB2312" w:hAnsi="楷体_GB2312" w:eastAsia="楷体_GB2312" w:cs="楷体_GB2312"/>
                <w:b/>
                <w:bCs w:val="0"/>
                <w:color w:val="auto"/>
                <w:sz w:val="28"/>
                <w:szCs w:val="28"/>
                <w:highlight w:val="none"/>
                <w:u w:val="none"/>
                <w:shd w:val="clear" w:color="auto" w:fill="FFFFFF"/>
              </w:rPr>
              <w:t>：“十</w:t>
            </w:r>
            <w:r>
              <w:rPr>
                <w:rFonts w:hint="eastAsia" w:ascii="楷体_GB2312" w:hAnsi="楷体_GB2312" w:eastAsia="楷体_GB2312" w:cs="楷体_GB2312"/>
                <w:b/>
                <w:bCs w:val="0"/>
                <w:color w:val="auto"/>
                <w:sz w:val="28"/>
                <w:szCs w:val="28"/>
                <w:highlight w:val="none"/>
                <w:u w:val="none"/>
                <w:shd w:val="clear" w:color="auto" w:fill="FFFFFF"/>
                <w:lang w:val="en-US" w:eastAsia="zh-CN"/>
              </w:rPr>
              <w:t>五</w:t>
            </w:r>
            <w:r>
              <w:rPr>
                <w:rFonts w:hint="eastAsia" w:ascii="楷体_GB2312" w:hAnsi="楷体_GB2312" w:eastAsia="楷体_GB2312" w:cs="楷体_GB2312"/>
                <w:b/>
                <w:bCs w:val="0"/>
                <w:color w:val="auto"/>
                <w:sz w:val="28"/>
                <w:szCs w:val="28"/>
                <w:highlight w:val="none"/>
                <w:u w:val="none"/>
                <w:shd w:val="clear" w:color="auto" w:fill="FFFFFF"/>
              </w:rPr>
              <w:t>五”</w:t>
            </w:r>
            <w:r>
              <w:rPr>
                <w:rFonts w:hint="eastAsia" w:ascii="楷体_GB2312" w:hAnsi="楷体_GB2312" w:eastAsia="楷体_GB2312" w:cs="楷体_GB2312"/>
                <w:b/>
                <w:bCs w:val="0"/>
                <w:color w:val="auto"/>
                <w:sz w:val="28"/>
                <w:szCs w:val="28"/>
                <w:highlight w:val="none"/>
                <w:u w:val="none"/>
                <w:shd w:val="clear" w:color="auto" w:fill="FFFFFF"/>
                <w:lang w:val="en-US" w:eastAsia="zh-CN"/>
              </w:rPr>
              <w:t>期间产业支撑重点项目</w:t>
            </w:r>
          </w:p>
        </w:tc>
      </w:tr>
      <w:tr w14:paraId="29FFBE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jc w:val="center"/>
        </w:trPr>
        <w:tc>
          <w:tcPr>
            <w:tcW w:w="8674" w:type="dxa"/>
            <w:noWrap w:val="0"/>
            <w:vAlign w:val="center"/>
          </w:tcPr>
          <w:p w14:paraId="52BEB2E7">
            <w:pPr>
              <w:keepNext w:val="0"/>
              <w:keepLines w:val="0"/>
              <w:pageBreakBefore w:val="0"/>
              <w:widowControl w:val="0"/>
              <w:suppressLineNumbers w:val="0"/>
              <w:kinsoku/>
              <w:wordWrap/>
              <w:overflowPunct/>
              <w:topLinePunct w:val="0"/>
              <w:autoSpaceDE/>
              <w:autoSpaceDN/>
              <w:bidi w:val="0"/>
              <w:adjustRightInd w:val="0"/>
              <w:snapToGrid w:val="0"/>
              <w:spacing w:beforeAutospacing="0" w:afterAutospacing="0" w:line="400" w:lineRule="exact"/>
              <w:ind w:left="0" w:right="0" w:firstLine="562" w:firstLineChars="200"/>
              <w:jc w:val="both"/>
              <w:textAlignment w:val="auto"/>
              <w:rPr>
                <w:rFonts w:hint="eastAsia"/>
                <w:lang w:val="en-US" w:eastAsia="zh-CN"/>
              </w:rPr>
            </w:pPr>
            <w:r>
              <w:rPr>
                <w:rFonts w:hint="eastAsia" w:ascii="Times New Roman" w:hAnsi="Times New Roman" w:eastAsia="仿宋_GB2312" w:cs="Times New Roman"/>
                <w:b/>
                <w:bCs/>
                <w:color w:val="auto"/>
                <w:kern w:val="2"/>
                <w:sz w:val="28"/>
                <w:szCs w:val="28"/>
                <w:highlight w:val="none"/>
                <w:u w:val="none"/>
                <w:lang w:val="en-US" w:eastAsia="zh-CN" w:bidi="ar-SA"/>
              </w:rPr>
              <w:t>重点实施</w:t>
            </w:r>
            <w:r>
              <w:rPr>
                <w:rFonts w:hint="eastAsia" w:ascii="Times New Roman" w:hAnsi="Times New Roman" w:eastAsia="仿宋_GB2312" w:cs="Times New Roman"/>
                <w:b w:val="0"/>
                <w:bCs w:val="0"/>
                <w:color w:val="auto"/>
                <w:kern w:val="2"/>
                <w:sz w:val="28"/>
                <w:szCs w:val="28"/>
                <w:highlight w:val="none"/>
                <w:u w:val="none"/>
                <w:lang w:val="en-US" w:eastAsia="zh-CN" w:bidi="ar-SA"/>
              </w:rPr>
              <w:t>扶沟县城市基础设施生命线安全工程建设项目。</w:t>
            </w:r>
          </w:p>
        </w:tc>
      </w:tr>
    </w:tbl>
    <w:p w14:paraId="47075691">
      <w:pPr>
        <w:keepNext/>
        <w:keepLines/>
        <w:pageBreakBefore w:val="0"/>
        <w:widowControl w:val="0"/>
        <w:numPr>
          <w:ilvl w:val="0"/>
          <w:numId w:val="0"/>
        </w:numPr>
        <w:kinsoku/>
        <w:wordWrap/>
        <w:overflowPunct/>
        <w:topLinePunct w:val="0"/>
        <w:autoSpaceDE/>
        <w:autoSpaceDN/>
        <w:bidi w:val="0"/>
        <w:adjustRightInd w:val="0"/>
        <w:snapToGrid w:val="0"/>
        <w:spacing w:before="901" w:beforeLines="250" w:after="439" w:afterLines="100" w:line="560" w:lineRule="exact"/>
        <w:ind w:leftChars="0"/>
        <w:jc w:val="center"/>
        <w:textAlignment w:val="auto"/>
        <w:outlineLvl w:val="1"/>
        <w:rPr>
          <w:rFonts w:hint="default" w:ascii="Times New Roman" w:hAnsi="Times New Roman" w:eastAsia="方正小标宋_GBK" w:cs="Times New Roman"/>
          <w:b/>
          <w:bCs w:val="0"/>
          <w:color w:val="auto"/>
          <w:kern w:val="2"/>
          <w:sz w:val="36"/>
          <w:szCs w:val="36"/>
          <w:highlight w:val="none"/>
          <w:u w:val="none"/>
          <w:lang w:val="en-US" w:eastAsia="zh-CN" w:bidi="ar-SA"/>
        </w:rPr>
      </w:pPr>
      <w:bookmarkStart w:id="115" w:name="_Toc3792"/>
      <w:bookmarkStart w:id="116" w:name="_Toc28534"/>
      <w:bookmarkStart w:id="117" w:name="_Toc28120"/>
      <w:bookmarkStart w:id="118" w:name="_Toc26075"/>
      <w:bookmarkStart w:id="119" w:name="_Toc10220"/>
      <w:r>
        <w:rPr>
          <w:rFonts w:hint="eastAsia" w:ascii="Times New Roman" w:hAnsi="Times New Roman" w:eastAsia="方正小标宋_GBK" w:cs="Times New Roman"/>
          <w:b/>
          <w:bCs w:val="0"/>
          <w:color w:val="auto"/>
          <w:kern w:val="2"/>
          <w:sz w:val="36"/>
          <w:szCs w:val="36"/>
          <w:highlight w:val="none"/>
          <w:u w:val="none"/>
          <w:lang w:val="en-US" w:eastAsia="zh-CN" w:bidi="ar-SA"/>
        </w:rPr>
        <w:t>第四章</w:t>
      </w:r>
      <w:r>
        <w:rPr>
          <w:rFonts w:hint="eastAsia" w:ascii="Times New Roman" w:hAnsi="Times New Roman" w:eastAsia="方正小标宋_GBK" w:cs="Times New Roman"/>
          <w:b/>
          <w:color w:val="auto"/>
          <w:kern w:val="2"/>
          <w:sz w:val="36"/>
          <w:szCs w:val="36"/>
          <w:highlight w:val="none"/>
          <w:u w:val="none"/>
          <w:lang w:val="en-US" w:eastAsia="zh-CN" w:bidi="ar-SA"/>
        </w:rPr>
        <w:t>强化创新驱动，打造产业升级新引擎</w:t>
      </w:r>
      <w:bookmarkEnd w:id="115"/>
      <w:bookmarkEnd w:id="116"/>
    </w:p>
    <w:p w14:paraId="03605B7D">
      <w:pPr>
        <w:keepNext w:val="0"/>
        <w:keepLines w:val="0"/>
        <w:pageBreakBefore w:val="0"/>
        <w:widowControl/>
        <w:kinsoku/>
        <w:wordWrap/>
        <w:overflowPunct/>
        <w:topLinePunct w:val="0"/>
        <w:autoSpaceDE/>
        <w:autoSpaceDN/>
        <w:bidi w:val="0"/>
        <w:adjustRightInd w:val="0"/>
        <w:snapToGrid w:val="0"/>
        <w:spacing w:line="560" w:lineRule="exact"/>
        <w:ind w:left="0" w:firstLine="640" w:firstLineChars="200"/>
        <w:textAlignment w:val="auto"/>
        <w:rPr>
          <w:rFonts w:hint="eastAsia" w:ascii="仿宋_GB2312" w:hAnsi="仿宋_GB2312" w:eastAsia="仿宋_GB2312" w:cs="仿宋_GB2312"/>
          <w:color w:val="auto"/>
          <w:kern w:val="2"/>
          <w:sz w:val="32"/>
          <w:szCs w:val="21"/>
          <w:u w:val="none"/>
          <w:lang w:val="en-US" w:eastAsia="zh-CN" w:bidi="ar-SA"/>
        </w:rPr>
      </w:pPr>
      <w:r>
        <w:rPr>
          <w:rFonts w:hint="eastAsia" w:ascii="仿宋_GB2312" w:hAnsi="仿宋_GB2312" w:eastAsia="仿宋_GB2312" w:cs="仿宋_GB2312"/>
          <w:color w:val="auto"/>
          <w:kern w:val="2"/>
          <w:sz w:val="32"/>
          <w:szCs w:val="21"/>
          <w:u w:val="none"/>
          <w:lang w:val="en-US" w:eastAsia="zh-CN" w:bidi="ar-SA"/>
        </w:rPr>
        <w:t>坚持把创新摆在现代化建设全局的核心位置，深入实施创新驱动发展战略，紧密对接国家“十五五”规划中关于强化国家战略科技力量、提升企业技术创新能力、激发人才创新活力等部署要求，以纺织服装、装备制造两大特色优势产业为核心发力点，系统推进创新主体培育、平台能级提升、产学研用深度融合与高端人才集聚，全面塑造要素完备、配置高效、协同开放、充满活力的区域创新生态，加快构建“基础研究+技术攻关+成果产业化+科技金融+人才支撑”全过程全链条协同创新体系，为区域经济高质量发展注入强劲持久的创新动能。</w:t>
      </w:r>
    </w:p>
    <w:p w14:paraId="74994E24">
      <w:pPr>
        <w:keepNext/>
        <w:keepLines/>
        <w:pageBreakBefore w:val="0"/>
        <w:widowControl w:val="0"/>
        <w:numPr>
          <w:ilvl w:val="0"/>
          <w:numId w:val="0"/>
        </w:numPr>
        <w:kinsoku/>
        <w:wordWrap/>
        <w:overflowPunct/>
        <w:topLinePunct w:val="0"/>
        <w:autoSpaceDE/>
        <w:autoSpaceDN/>
        <w:bidi w:val="0"/>
        <w:adjustRightInd w:val="0"/>
        <w:snapToGrid w:val="0"/>
        <w:spacing w:before="156" w:beforeLines="50" w:after="156" w:afterLines="50" w:line="560" w:lineRule="exact"/>
        <w:ind w:left="0" w:firstLine="0" w:firstLineChars="0"/>
        <w:jc w:val="center"/>
        <w:textAlignment w:val="auto"/>
        <w:outlineLvl w:val="2"/>
        <w:rPr>
          <w:rFonts w:hint="eastAsia" w:ascii="Times New Roman" w:hAnsi="Times New Roman" w:eastAsia="黑体" w:cs="Times New Roman"/>
          <w:b/>
          <w:bCs/>
          <w:color w:val="auto"/>
          <w:kern w:val="2"/>
          <w:sz w:val="32"/>
          <w:szCs w:val="32"/>
          <w:highlight w:val="none"/>
          <w:u w:val="none"/>
          <w:lang w:val="en-US" w:eastAsia="zh-CN" w:bidi="ar-SA"/>
        </w:rPr>
      </w:pPr>
      <w:bookmarkStart w:id="120" w:name="_Toc11093"/>
      <w:bookmarkStart w:id="121" w:name="_Toc6210"/>
      <w:r>
        <w:rPr>
          <w:rFonts w:hint="eastAsia" w:ascii="Times New Roman" w:hAnsi="Times New Roman" w:eastAsia="黑体" w:cs="Times New Roman"/>
          <w:b/>
          <w:bCs/>
          <w:color w:val="auto"/>
          <w:kern w:val="2"/>
          <w:sz w:val="32"/>
          <w:szCs w:val="32"/>
          <w:highlight w:val="none"/>
          <w:u w:val="none"/>
          <w:lang w:val="en-US" w:eastAsia="zh-CN" w:bidi="ar-SA"/>
        </w:rPr>
        <w:t>第一节高水准育强创新主体，夯实产业创新根基</w:t>
      </w:r>
      <w:bookmarkEnd w:id="120"/>
      <w:bookmarkEnd w:id="121"/>
    </w:p>
    <w:p w14:paraId="35904B1F">
      <w:pPr>
        <w:keepNext w:val="0"/>
        <w:keepLines w:val="0"/>
        <w:pageBreakBefore w:val="0"/>
        <w:widowControl/>
        <w:kinsoku/>
        <w:wordWrap/>
        <w:overflowPunct/>
        <w:topLinePunct w:val="0"/>
        <w:autoSpaceDE/>
        <w:autoSpaceDN/>
        <w:bidi w:val="0"/>
        <w:adjustRightInd w:val="0"/>
        <w:snapToGrid w:val="0"/>
        <w:spacing w:line="560" w:lineRule="exact"/>
        <w:ind w:left="0" w:firstLine="640" w:firstLineChars="200"/>
        <w:textAlignment w:val="auto"/>
        <w:rPr>
          <w:rFonts w:hint="eastAsia" w:ascii="仿宋_GB2312" w:hAnsi="仿宋_GB2312" w:eastAsia="仿宋_GB2312" w:cs="仿宋_GB2312"/>
          <w:color w:val="auto"/>
          <w:kern w:val="2"/>
          <w:sz w:val="32"/>
          <w:szCs w:val="21"/>
          <w:u w:val="none"/>
          <w:lang w:val="en-US" w:eastAsia="zh-CN" w:bidi="ar-SA"/>
        </w:rPr>
      </w:pPr>
      <w:r>
        <w:rPr>
          <w:rFonts w:hint="eastAsia" w:ascii="仿宋_GB2312" w:hAnsi="仿宋_GB2312" w:eastAsia="仿宋_GB2312" w:cs="仿宋_GB2312"/>
          <w:color w:val="auto"/>
          <w:kern w:val="2"/>
          <w:sz w:val="32"/>
          <w:szCs w:val="21"/>
          <w:u w:val="none"/>
          <w:lang w:val="en-US" w:eastAsia="zh-CN" w:bidi="ar-SA"/>
        </w:rPr>
        <w:t>强化企业在技术创新决策、研发投入、科研组织和成果转化中的主体地位，引导技术、人才、资金、数据等创新要素向纺织服装、装备制造等重点产业集群高效集聚。支持龙头企业联合产业链上下游、高校及科研机构组建创新联合体，强化研发投入与知识产权布局，推动关键共性技术迭代突破，提升产业整体竞争力。持续完善“微成长、小升高、高变强”的科技型企业梯次培育机制，深入实施龙头企业树标引领、高新技术企业倍增、科技型中小企业“春笋”等专项计划，推动产业结构实现从制造向创造、速度向质量、产品向品牌的根本性转变。</w:t>
      </w:r>
    </w:p>
    <w:p w14:paraId="6C3D1065">
      <w:pPr>
        <w:keepNext w:val="0"/>
        <w:keepLines w:val="0"/>
        <w:pageBreakBefore w:val="0"/>
        <w:widowControl/>
        <w:kinsoku/>
        <w:wordWrap/>
        <w:overflowPunct/>
        <w:topLinePunct w:val="0"/>
        <w:autoSpaceDE/>
        <w:autoSpaceDN/>
        <w:bidi w:val="0"/>
        <w:adjustRightInd w:val="0"/>
        <w:snapToGrid w:val="0"/>
        <w:spacing w:line="560" w:lineRule="exact"/>
        <w:ind w:left="0" w:firstLine="640" w:firstLineChars="200"/>
        <w:textAlignment w:val="auto"/>
        <w:rPr>
          <w:rFonts w:hint="eastAsia" w:ascii="仿宋_GB2312" w:hAnsi="仿宋_GB2312" w:eastAsia="仿宋_GB2312" w:cs="仿宋_GB2312"/>
          <w:color w:val="auto"/>
          <w:kern w:val="2"/>
          <w:sz w:val="32"/>
          <w:szCs w:val="21"/>
          <w:u w:val="none"/>
          <w:lang w:val="en-US" w:eastAsia="zh-CN" w:bidi="ar-SA"/>
        </w:rPr>
      </w:pPr>
      <w:r>
        <w:rPr>
          <w:rFonts w:hint="eastAsia" w:ascii="仿宋_GB2312" w:hAnsi="仿宋_GB2312" w:eastAsia="仿宋_GB2312" w:cs="仿宋_GB2312"/>
          <w:color w:val="auto"/>
          <w:kern w:val="2"/>
          <w:sz w:val="32"/>
          <w:szCs w:val="21"/>
          <w:u w:val="none"/>
          <w:lang w:val="en-US" w:eastAsia="zh-CN" w:bidi="ar-SA"/>
        </w:rPr>
        <w:t>聚焦产业基础高级化和产业链现代化，重点支持昌茂纺织向智能纺纱等高端环节延伸，助力水天服装发展个性化定制、功能性服饰；推动河南奥兰船舶在船舶动力系统领域取得突破，引导金泰金属向新能源汽车轻量化零部件、高性能金属材料转型。通过龙头带动，形成“一枝独秀”引领“百花齐放”的协同创新格局。</w:t>
      </w:r>
    </w:p>
    <w:p w14:paraId="67F232DC">
      <w:pPr>
        <w:keepNext w:val="0"/>
        <w:keepLines w:val="0"/>
        <w:pageBreakBefore w:val="0"/>
        <w:widowControl/>
        <w:kinsoku/>
        <w:wordWrap/>
        <w:overflowPunct/>
        <w:topLinePunct w:val="0"/>
        <w:autoSpaceDE/>
        <w:autoSpaceDN/>
        <w:bidi w:val="0"/>
        <w:adjustRightInd w:val="0"/>
        <w:snapToGrid w:val="0"/>
        <w:spacing w:line="560" w:lineRule="exact"/>
        <w:ind w:left="0" w:firstLine="640" w:firstLineChars="200"/>
        <w:textAlignment w:val="auto"/>
        <w:rPr>
          <w:rFonts w:hint="eastAsia" w:ascii="仿宋_GB2312" w:hAnsi="仿宋_GB2312" w:eastAsia="仿宋_GB2312" w:cs="仿宋_GB2312"/>
          <w:color w:val="auto"/>
          <w:kern w:val="2"/>
          <w:sz w:val="32"/>
          <w:szCs w:val="21"/>
          <w:u w:val="none"/>
          <w:lang w:val="en-US" w:eastAsia="zh-CN" w:bidi="ar-SA"/>
        </w:rPr>
      </w:pPr>
      <w:r>
        <w:rPr>
          <w:rFonts w:hint="eastAsia" w:ascii="仿宋_GB2312" w:hAnsi="仿宋_GB2312" w:eastAsia="仿宋_GB2312" w:cs="仿宋_GB2312"/>
          <w:color w:val="auto"/>
          <w:kern w:val="2"/>
          <w:sz w:val="32"/>
          <w:szCs w:val="21"/>
          <w:u w:val="none"/>
          <w:lang w:val="en-US" w:eastAsia="zh-CN" w:bidi="ar-SA"/>
        </w:rPr>
        <w:t>到“十五五”末期，力争全县规模以上工业企业研发“四有”覆盖率稳定在90%以上；国家高新技术企业总量突破35家，备案国家科技型中小企业超过300家，新增省级以上“专精特新”企业8家。形成结构合理、梯队衔接、活力迸发的创新型企业集群。</w:t>
      </w:r>
    </w:p>
    <w:p w14:paraId="19D78A09">
      <w:pPr>
        <w:keepNext/>
        <w:keepLines/>
        <w:pageBreakBefore w:val="0"/>
        <w:widowControl w:val="0"/>
        <w:numPr>
          <w:ilvl w:val="0"/>
          <w:numId w:val="0"/>
        </w:numPr>
        <w:kinsoku/>
        <w:wordWrap/>
        <w:overflowPunct/>
        <w:topLinePunct w:val="0"/>
        <w:autoSpaceDE/>
        <w:autoSpaceDN/>
        <w:bidi w:val="0"/>
        <w:adjustRightInd w:val="0"/>
        <w:snapToGrid w:val="0"/>
        <w:spacing w:before="156" w:beforeLines="50" w:after="156" w:afterLines="50" w:line="560" w:lineRule="exact"/>
        <w:ind w:left="0" w:firstLine="0" w:firstLineChars="0"/>
        <w:jc w:val="center"/>
        <w:textAlignment w:val="auto"/>
        <w:outlineLvl w:val="2"/>
        <w:rPr>
          <w:rFonts w:hint="eastAsia" w:ascii="Times New Roman" w:hAnsi="Times New Roman" w:eastAsia="黑体" w:cs="Times New Roman"/>
          <w:b/>
          <w:bCs/>
          <w:color w:val="auto"/>
          <w:kern w:val="2"/>
          <w:sz w:val="32"/>
          <w:szCs w:val="32"/>
          <w:highlight w:val="none"/>
          <w:u w:val="none"/>
          <w:lang w:val="en-US" w:eastAsia="zh-CN" w:bidi="ar-SA"/>
        </w:rPr>
      </w:pPr>
      <w:bookmarkStart w:id="122" w:name="_Toc24848"/>
      <w:bookmarkStart w:id="123" w:name="_Toc10251"/>
      <w:r>
        <w:rPr>
          <w:rFonts w:hint="eastAsia" w:ascii="Times New Roman" w:hAnsi="Times New Roman" w:eastAsia="黑体" w:cs="Times New Roman"/>
          <w:b/>
          <w:bCs/>
          <w:color w:val="auto"/>
          <w:kern w:val="2"/>
          <w:sz w:val="32"/>
          <w:szCs w:val="32"/>
          <w:highlight w:val="none"/>
          <w:u w:val="none"/>
          <w:lang w:val="en-US" w:eastAsia="zh-CN" w:bidi="ar-SA"/>
        </w:rPr>
        <w:t>第二节高标准建设科创载体，强化平台支撑能力</w:t>
      </w:r>
      <w:bookmarkEnd w:id="122"/>
      <w:bookmarkEnd w:id="123"/>
    </w:p>
    <w:p w14:paraId="07B236FE">
      <w:pPr>
        <w:keepNext w:val="0"/>
        <w:keepLines w:val="0"/>
        <w:pageBreakBefore w:val="0"/>
        <w:widowControl/>
        <w:kinsoku/>
        <w:wordWrap/>
        <w:overflowPunct/>
        <w:topLinePunct w:val="0"/>
        <w:autoSpaceDE/>
        <w:autoSpaceDN/>
        <w:bidi w:val="0"/>
        <w:adjustRightInd w:val="0"/>
        <w:snapToGrid w:val="0"/>
        <w:spacing w:line="560" w:lineRule="exact"/>
        <w:ind w:left="0" w:firstLine="640" w:firstLineChars="200"/>
        <w:textAlignment w:val="auto"/>
        <w:outlineLvl w:val="9"/>
        <w:rPr>
          <w:rFonts w:hint="eastAsia" w:ascii="仿宋_GB2312" w:hAnsi="仿宋_GB2312" w:eastAsia="仿宋_GB2312" w:cs="仿宋_GB2312"/>
          <w:color w:val="auto"/>
          <w:kern w:val="2"/>
          <w:sz w:val="32"/>
          <w:szCs w:val="21"/>
          <w:u w:val="none"/>
          <w:lang w:val="en-US" w:eastAsia="zh-CN" w:bidi="ar-SA"/>
        </w:rPr>
      </w:pPr>
      <w:r>
        <w:rPr>
          <w:rFonts w:hint="eastAsia" w:ascii="仿宋_GB2312" w:hAnsi="仿宋_GB2312" w:eastAsia="仿宋_GB2312" w:cs="仿宋_GB2312"/>
          <w:color w:val="auto"/>
          <w:kern w:val="2"/>
          <w:sz w:val="32"/>
          <w:szCs w:val="21"/>
          <w:u w:val="none"/>
          <w:lang w:val="en-US" w:eastAsia="zh-CN" w:bidi="ar-SA"/>
        </w:rPr>
        <w:t>面向纺织服装、装备制造产业高端化、智能化、绿色化升级的迫切需求，系统性布局和建设一批高水平创新平台。支持领域内高新技术企业建设省级工程技术研究中心、企业技术中心、重点实验室等创新平台，推动两大产业领域高新技术企业省级研发平台全覆盖。重点推动金泰金属建设新能源汽车配件实验室、水天服装打造功能服饰研发平台、玖弘鞋业组建河南省户外功能鞋及舒适耐磨高分子鞋材工程技术研究中心、河南奥兰船舶建设发动机核心技术研发平台、禾瑞光电建设光电光学制品研发中心，助力实现省级重点实验室零突破。</w:t>
      </w:r>
    </w:p>
    <w:p w14:paraId="65A92602">
      <w:pPr>
        <w:keepNext w:val="0"/>
        <w:keepLines w:val="0"/>
        <w:pageBreakBefore w:val="0"/>
        <w:widowControl/>
        <w:kinsoku/>
        <w:wordWrap/>
        <w:overflowPunct/>
        <w:topLinePunct w:val="0"/>
        <w:autoSpaceDE/>
        <w:autoSpaceDN/>
        <w:bidi w:val="0"/>
        <w:adjustRightInd w:val="0"/>
        <w:snapToGrid w:val="0"/>
        <w:spacing w:line="560" w:lineRule="exact"/>
        <w:ind w:left="0" w:firstLine="640" w:firstLineChars="200"/>
        <w:textAlignment w:val="auto"/>
        <w:outlineLvl w:val="9"/>
        <w:rPr>
          <w:rFonts w:hint="eastAsia" w:ascii="仿宋_GB2312" w:hAnsi="仿宋_GB2312" w:eastAsia="仿宋_GB2312" w:cs="仿宋_GB2312"/>
          <w:color w:val="auto"/>
          <w:kern w:val="2"/>
          <w:sz w:val="32"/>
          <w:szCs w:val="21"/>
          <w:u w:val="none"/>
          <w:lang w:val="en-US" w:eastAsia="zh-CN" w:bidi="ar-SA"/>
        </w:rPr>
      </w:pPr>
      <w:r>
        <w:rPr>
          <w:rFonts w:hint="eastAsia" w:ascii="仿宋_GB2312" w:hAnsi="仿宋_GB2312" w:eastAsia="仿宋_GB2312" w:cs="仿宋_GB2312"/>
          <w:color w:val="auto"/>
          <w:kern w:val="2"/>
          <w:sz w:val="32"/>
          <w:szCs w:val="21"/>
          <w:u w:val="none"/>
          <w:lang w:val="en-US" w:eastAsia="zh-CN" w:bidi="ar-SA"/>
        </w:rPr>
        <w:t>鼓励行业龙头骨干企业发挥资源整合优势，深化与河南工程学院、中国科学院大连化物所、省农科院等省内外知名高校院所的嵌入式合作，探索建立“校企共建、权属清晰、运营高效”的协同创新平台。围绕绿色智能铸造3D打印、纺织纤维新材料等前沿方向，共同建设一批特色鲜明的专项实验室和中试基地，着力打通“研发—中试—产业化”通道。</w:t>
      </w:r>
    </w:p>
    <w:p w14:paraId="06035798">
      <w:pPr>
        <w:keepNext w:val="0"/>
        <w:keepLines w:val="0"/>
        <w:pageBreakBefore w:val="0"/>
        <w:widowControl/>
        <w:kinsoku/>
        <w:wordWrap/>
        <w:overflowPunct/>
        <w:topLinePunct w:val="0"/>
        <w:autoSpaceDE/>
        <w:autoSpaceDN/>
        <w:bidi w:val="0"/>
        <w:adjustRightInd w:val="0"/>
        <w:snapToGrid w:val="0"/>
        <w:spacing w:line="560" w:lineRule="exact"/>
        <w:ind w:left="0" w:firstLine="640" w:firstLineChars="200"/>
        <w:textAlignment w:val="auto"/>
        <w:outlineLvl w:val="9"/>
        <w:rPr>
          <w:rFonts w:hint="eastAsia" w:ascii="仿宋_GB2312" w:hAnsi="仿宋_GB2312" w:eastAsia="仿宋_GB2312" w:cs="仿宋_GB2312"/>
          <w:color w:val="auto"/>
          <w:kern w:val="2"/>
          <w:sz w:val="32"/>
          <w:szCs w:val="21"/>
          <w:u w:val="none"/>
          <w:lang w:val="en-US" w:eastAsia="zh-CN" w:bidi="ar-SA"/>
        </w:rPr>
      </w:pPr>
      <w:r>
        <w:rPr>
          <w:rFonts w:hint="eastAsia" w:ascii="仿宋_GB2312" w:hAnsi="仿宋_GB2312" w:eastAsia="仿宋_GB2312" w:cs="仿宋_GB2312"/>
          <w:color w:val="auto"/>
          <w:kern w:val="2"/>
          <w:sz w:val="32"/>
          <w:szCs w:val="21"/>
          <w:u w:val="none"/>
          <w:lang w:val="en-US" w:eastAsia="zh-CN" w:bidi="ar-SA"/>
        </w:rPr>
        <w:t>“十五五”期间，力争全社会研发经费投入强度达到1.8%以上，累计新增省、市级各类创新平台35家以上，建成省级工程技术研究中心、企业技术中心等研发平台8个以上，形成支撑产业持续创新的核心平台力量。</w:t>
      </w:r>
    </w:p>
    <w:p w14:paraId="3ED1261F">
      <w:pPr>
        <w:keepNext/>
        <w:keepLines/>
        <w:pageBreakBefore w:val="0"/>
        <w:widowControl w:val="0"/>
        <w:numPr>
          <w:ilvl w:val="0"/>
          <w:numId w:val="0"/>
        </w:numPr>
        <w:kinsoku/>
        <w:wordWrap/>
        <w:overflowPunct/>
        <w:topLinePunct w:val="0"/>
        <w:autoSpaceDE/>
        <w:autoSpaceDN/>
        <w:bidi w:val="0"/>
        <w:adjustRightInd w:val="0"/>
        <w:snapToGrid w:val="0"/>
        <w:spacing w:before="156" w:beforeLines="50" w:after="156" w:afterLines="50" w:line="560" w:lineRule="exact"/>
        <w:ind w:left="0" w:firstLine="0" w:firstLineChars="0"/>
        <w:jc w:val="center"/>
        <w:textAlignment w:val="auto"/>
        <w:outlineLvl w:val="2"/>
        <w:rPr>
          <w:rFonts w:hint="eastAsia" w:ascii="Times New Roman" w:hAnsi="Times New Roman" w:eastAsia="黑体" w:cs="Times New Roman"/>
          <w:b/>
          <w:bCs/>
          <w:color w:val="auto"/>
          <w:kern w:val="2"/>
          <w:sz w:val="32"/>
          <w:szCs w:val="32"/>
          <w:highlight w:val="none"/>
          <w:u w:val="none"/>
          <w:lang w:val="en-US" w:eastAsia="zh-CN" w:bidi="ar-SA"/>
        </w:rPr>
      </w:pPr>
      <w:bookmarkStart w:id="124" w:name="_Toc7181"/>
      <w:bookmarkStart w:id="125" w:name="_Toc11329"/>
      <w:r>
        <w:rPr>
          <w:rFonts w:hint="eastAsia" w:ascii="Times New Roman" w:hAnsi="Times New Roman" w:eastAsia="黑体" w:cs="Times New Roman"/>
          <w:b/>
          <w:bCs/>
          <w:color w:val="auto"/>
          <w:kern w:val="2"/>
          <w:sz w:val="32"/>
          <w:szCs w:val="32"/>
          <w:highlight w:val="none"/>
          <w:u w:val="none"/>
          <w:lang w:val="en-US" w:eastAsia="zh-CN" w:bidi="ar-SA"/>
        </w:rPr>
        <w:t>第三节全方位深化产学研协同，加速成果转化应用</w:t>
      </w:r>
      <w:bookmarkEnd w:id="124"/>
      <w:bookmarkEnd w:id="125"/>
    </w:p>
    <w:p w14:paraId="7291420C">
      <w:pPr>
        <w:keepNext w:val="0"/>
        <w:keepLines w:val="0"/>
        <w:pageBreakBefore w:val="0"/>
        <w:widowControl/>
        <w:kinsoku/>
        <w:wordWrap/>
        <w:overflowPunct/>
        <w:topLinePunct w:val="0"/>
        <w:autoSpaceDE/>
        <w:autoSpaceDN/>
        <w:bidi w:val="0"/>
        <w:adjustRightInd w:val="0"/>
        <w:snapToGrid w:val="0"/>
        <w:spacing w:line="560" w:lineRule="exact"/>
        <w:ind w:left="0" w:firstLine="640" w:firstLineChars="200"/>
        <w:textAlignment w:val="auto"/>
        <w:rPr>
          <w:rFonts w:hint="eastAsia" w:ascii="仿宋_GB2312" w:hAnsi="仿宋_GB2312" w:eastAsia="仿宋_GB2312" w:cs="仿宋_GB2312"/>
          <w:color w:val="auto"/>
          <w:kern w:val="2"/>
          <w:sz w:val="32"/>
          <w:szCs w:val="21"/>
          <w:u w:val="none"/>
          <w:lang w:val="en-US" w:eastAsia="zh-CN" w:bidi="ar-SA"/>
        </w:rPr>
      </w:pPr>
      <w:r>
        <w:rPr>
          <w:rFonts w:hint="eastAsia" w:ascii="仿宋_GB2312" w:hAnsi="仿宋_GB2312" w:eastAsia="仿宋_GB2312" w:cs="仿宋_GB2312"/>
          <w:color w:val="auto"/>
          <w:kern w:val="2"/>
          <w:sz w:val="32"/>
          <w:szCs w:val="21"/>
          <w:u w:val="none"/>
          <w:lang w:val="en-US" w:eastAsia="zh-CN" w:bidi="ar-SA"/>
        </w:rPr>
        <w:t>紧密围绕主导产业发展的核心技术需求和“卡脖子”问题，系统布局和实施重大科技专项、重点研发专项和科技攻关等各类科技创新项目。深化与河南工程学院、周口师范学院、河南农业大学等高校及科研机构的战略合作，推动产学研用从“点对点”合作向“体系化、常态化、实体化”深度融合转变。聚焦纺织面料功能升级、绿色有机棉高精纱研发、高性能阻燃布制备、新能源汽车零部件型性设计、发动机核心技术攻关等关键课题，组织力量开展跨学科、跨领域的联合攻关；推动企业与高校签订长期战略合作协议，共建联合实验室或研发中心，构建“研发需求精准对接—创新资源协同配置—关键技术联合攻关—成果市场高效转化—专业人才定向培养”的闭环运行模式。</w:t>
      </w:r>
    </w:p>
    <w:p w14:paraId="49528E91">
      <w:pPr>
        <w:keepNext w:val="0"/>
        <w:keepLines w:val="0"/>
        <w:pageBreakBefore w:val="0"/>
        <w:widowControl/>
        <w:kinsoku/>
        <w:wordWrap/>
        <w:overflowPunct/>
        <w:topLinePunct w:val="0"/>
        <w:autoSpaceDE/>
        <w:autoSpaceDN/>
        <w:bidi w:val="0"/>
        <w:adjustRightInd w:val="0"/>
        <w:snapToGrid w:val="0"/>
        <w:spacing w:line="560" w:lineRule="exact"/>
        <w:ind w:left="0" w:firstLine="640" w:firstLineChars="200"/>
        <w:textAlignment w:val="auto"/>
        <w:rPr>
          <w:rFonts w:hint="eastAsia" w:ascii="仿宋_GB2312" w:hAnsi="仿宋_GB2312" w:eastAsia="仿宋_GB2312" w:cs="仿宋_GB2312"/>
          <w:color w:val="auto"/>
          <w:kern w:val="2"/>
          <w:sz w:val="32"/>
          <w:szCs w:val="21"/>
          <w:u w:val="none"/>
          <w:lang w:val="en-US" w:eastAsia="zh-CN" w:bidi="ar-SA"/>
        </w:rPr>
      </w:pPr>
      <w:r>
        <w:rPr>
          <w:rFonts w:hint="eastAsia" w:ascii="仿宋_GB2312" w:hAnsi="仿宋_GB2312" w:eastAsia="仿宋_GB2312" w:cs="仿宋_GB2312"/>
          <w:color w:val="auto"/>
          <w:kern w:val="2"/>
          <w:sz w:val="32"/>
          <w:szCs w:val="21"/>
          <w:u w:val="none"/>
          <w:lang w:val="en-US" w:eastAsia="zh-CN" w:bidi="ar-SA"/>
        </w:rPr>
        <w:t>围绕新能源汽车配套、先进金属材料、高分子复合材料等领域，规划建设零碳铝制品产业园、高端汽车内饰产业园等特色化、专业化产业集聚区，积极支持本地企业与比亚迪等行业龙头企业开展协同创新，融入其供应链体系，实现关键配套技术的本地化突破与产业化应用。大力支持牧原农牧、宝乐奶业等农业龙头企业牵头筹建院士工作站，引进农业领域顶尖智力资源，以“院士经济”模式引领智慧养殖、绿色种植、农产品精深加工等方向的农业科技创新，赋能区域农业换道领跑、高质量发展。同时，支持河南农大扶沟蔬菜研究院拓展研究领域，增设智能农业、农产品加工等专业方向，建设实践实训平台。建立企业技术需求与高校科技成果双向对接机制，促进科技成果精准转化。力争“十五五”时期，全县技术合同成交额达到15亿元以上。</w:t>
      </w:r>
    </w:p>
    <w:p w14:paraId="381AC8BD">
      <w:pPr>
        <w:keepNext/>
        <w:keepLines/>
        <w:pageBreakBefore w:val="0"/>
        <w:widowControl w:val="0"/>
        <w:numPr>
          <w:ilvl w:val="0"/>
          <w:numId w:val="0"/>
        </w:numPr>
        <w:kinsoku/>
        <w:wordWrap/>
        <w:overflowPunct/>
        <w:topLinePunct w:val="0"/>
        <w:autoSpaceDE/>
        <w:autoSpaceDN/>
        <w:bidi w:val="0"/>
        <w:adjustRightInd w:val="0"/>
        <w:snapToGrid w:val="0"/>
        <w:spacing w:before="156" w:beforeLines="50" w:after="156" w:afterLines="50" w:line="560" w:lineRule="exact"/>
        <w:ind w:leftChars="0" w:firstLine="0" w:firstLineChars="0"/>
        <w:jc w:val="center"/>
        <w:textAlignment w:val="auto"/>
        <w:outlineLvl w:val="2"/>
        <w:rPr>
          <w:rFonts w:hint="eastAsia" w:ascii="Times New Roman" w:hAnsi="Times New Roman" w:eastAsia="黑体" w:cs="Times New Roman"/>
          <w:b/>
          <w:bCs/>
          <w:color w:val="auto"/>
          <w:kern w:val="2"/>
          <w:sz w:val="32"/>
          <w:szCs w:val="32"/>
          <w:highlight w:val="none"/>
          <w:u w:val="none"/>
          <w:lang w:val="en-US" w:eastAsia="zh-CN" w:bidi="ar-SA"/>
        </w:rPr>
      </w:pPr>
      <w:bookmarkStart w:id="126" w:name="_Toc19536"/>
      <w:bookmarkStart w:id="127" w:name="_Toc7877"/>
      <w:r>
        <w:rPr>
          <w:rFonts w:hint="eastAsia" w:ascii="Times New Roman" w:hAnsi="Times New Roman" w:eastAsia="黑体" w:cs="Times New Roman"/>
          <w:b/>
          <w:bCs/>
          <w:color w:val="auto"/>
          <w:kern w:val="2"/>
          <w:sz w:val="32"/>
          <w:szCs w:val="32"/>
          <w:highlight w:val="none"/>
          <w:u w:val="none"/>
          <w:lang w:val="en-US" w:eastAsia="zh-CN" w:bidi="ar-SA"/>
        </w:rPr>
        <w:t>第四节超常规构筑人才高地，强化智力支撑保障</w:t>
      </w:r>
      <w:bookmarkEnd w:id="126"/>
      <w:bookmarkEnd w:id="127"/>
    </w:p>
    <w:p w14:paraId="4B0E980D">
      <w:pPr>
        <w:keepNext w:val="0"/>
        <w:keepLines w:val="0"/>
        <w:pageBreakBefore w:val="0"/>
        <w:widowControl/>
        <w:numPr>
          <w:ilvl w:val="-1"/>
          <w:numId w:val="0"/>
        </w:numPr>
        <w:kinsoku/>
        <w:wordWrap/>
        <w:overflowPunct/>
        <w:topLinePunct w:val="0"/>
        <w:autoSpaceDE/>
        <w:autoSpaceDN/>
        <w:bidi w:val="0"/>
        <w:adjustRightInd w:val="0"/>
        <w:snapToGrid w:val="0"/>
        <w:spacing w:before="0" w:beforeLines="-2147483648" w:after="0" w:afterLines="-2147483648" w:line="560" w:lineRule="exact"/>
        <w:ind w:leftChars="0" w:firstLine="640" w:firstLineChars="200"/>
        <w:jc w:val="left"/>
        <w:textAlignment w:val="auto"/>
        <w:outlineLvl w:val="9"/>
        <w:rPr>
          <w:rFonts w:hint="eastAsia" w:ascii="仿宋_GB2312" w:hAnsi="仿宋_GB2312" w:eastAsia="仿宋_GB2312" w:cs="仿宋_GB2312"/>
          <w:color w:val="auto"/>
          <w:kern w:val="2"/>
          <w:sz w:val="32"/>
          <w:szCs w:val="21"/>
          <w:u w:val="none"/>
          <w:lang w:val="en-US" w:eastAsia="zh-CN" w:bidi="ar-SA"/>
        </w:rPr>
      </w:pPr>
      <w:r>
        <w:rPr>
          <w:rFonts w:hint="eastAsia" w:ascii="仿宋_GB2312" w:hAnsi="仿宋_GB2312" w:eastAsia="仿宋_GB2312" w:cs="仿宋_GB2312"/>
          <w:color w:val="auto"/>
          <w:kern w:val="2"/>
          <w:sz w:val="32"/>
          <w:szCs w:val="21"/>
          <w:u w:val="none"/>
          <w:lang w:val="en-US" w:eastAsia="zh-CN" w:bidi="ar-SA"/>
        </w:rPr>
        <w:t>坚持引育并举聚人才，围绕纺织服装、装备制造产业发展需求，系统构建“高精尖缺”人才开发需求库，精准引聚纺织、光学镀膜新材料研发、智能装备设计、高端制造工艺等领域紧缺人才。创新人才引进模式，推行两大产业重大科技专项“揭榜挂帅”，实施“扶沟英才”引才计划，落实人才住房补贴、子女教育、医疗保障等政策，吸引高校、科研院所骨干人才带技术、带项目来扶沟创新创业。深化“科技副总”选聘机制，重点从河南工程学院、郑州大学等省内外高校选派纺织、机械、材料、光学等领域专家入驻企业，提供靶向技术服务。实施“青英行动”“青年创业扶持计划”，运用“政聘企用”“校企合作”等模式，集聚急需紧缺人才。</w:t>
      </w:r>
    </w:p>
    <w:p w14:paraId="4E041EFB">
      <w:pPr>
        <w:keepNext w:val="0"/>
        <w:keepLines w:val="0"/>
        <w:pageBreakBefore w:val="0"/>
        <w:widowControl/>
        <w:numPr>
          <w:ilvl w:val="-1"/>
          <w:numId w:val="0"/>
        </w:numPr>
        <w:kinsoku/>
        <w:wordWrap/>
        <w:overflowPunct/>
        <w:topLinePunct w:val="0"/>
        <w:autoSpaceDE/>
        <w:autoSpaceDN/>
        <w:bidi w:val="0"/>
        <w:adjustRightInd w:val="0"/>
        <w:snapToGrid w:val="0"/>
        <w:spacing w:before="0" w:beforeLines="-2147483648" w:after="0" w:afterLines="-2147483648" w:line="560" w:lineRule="exact"/>
        <w:ind w:leftChars="0" w:firstLine="640" w:firstLineChars="200"/>
        <w:jc w:val="left"/>
        <w:textAlignment w:val="auto"/>
        <w:outlineLvl w:val="9"/>
        <w:rPr>
          <w:rFonts w:hint="eastAsia" w:ascii="Times New Roman" w:hAnsi="Times New Roman" w:eastAsia="方正小标宋_GBK" w:cs="Times New Roman"/>
          <w:b/>
          <w:color w:val="auto"/>
          <w:kern w:val="2"/>
          <w:sz w:val="36"/>
          <w:szCs w:val="36"/>
          <w:highlight w:val="none"/>
          <w:u w:val="none"/>
          <w:lang w:val="en-US" w:eastAsia="zh-CN" w:bidi="ar-SA"/>
        </w:rPr>
      </w:pPr>
      <w:r>
        <w:rPr>
          <w:rFonts w:hint="eastAsia" w:ascii="仿宋_GB2312" w:hAnsi="仿宋_GB2312" w:eastAsia="仿宋_GB2312" w:cs="仿宋_GB2312"/>
          <w:color w:val="auto"/>
          <w:kern w:val="2"/>
          <w:sz w:val="32"/>
          <w:szCs w:val="21"/>
          <w:u w:val="none"/>
          <w:lang w:val="en-US" w:eastAsia="zh-CN" w:bidi="ar-SA"/>
        </w:rPr>
        <w:t>深化与河南工程学院、周口职业技术学院等高校合作，开设“纺织技术冠名班”“机械加工定向班”“智能装备实训班”，定向培育纺织服装、装备制造产业技能人才。支持重点企业与高校、科研院所合作共建博士后科研工作站、院士工作站，搭建产学研协用同创新与人才培养平台。</w:t>
      </w:r>
    </w:p>
    <w:p w14:paraId="0175F717">
      <w:pPr>
        <w:keepNext/>
        <w:keepLines/>
        <w:pageBreakBefore w:val="0"/>
        <w:widowControl w:val="0"/>
        <w:numPr>
          <w:ilvl w:val="0"/>
          <w:numId w:val="0"/>
        </w:numPr>
        <w:kinsoku/>
        <w:wordWrap/>
        <w:overflowPunct/>
        <w:topLinePunct w:val="0"/>
        <w:autoSpaceDE/>
        <w:autoSpaceDN/>
        <w:bidi w:val="0"/>
        <w:adjustRightInd w:val="0"/>
        <w:snapToGrid w:val="0"/>
        <w:spacing w:before="541" w:beforeLines="150" w:after="439" w:afterLines="100" w:line="560" w:lineRule="exact"/>
        <w:ind w:leftChars="0"/>
        <w:jc w:val="left"/>
        <w:textAlignment w:val="auto"/>
        <w:outlineLvl w:val="0"/>
        <w:rPr>
          <w:rFonts w:hint="default" w:ascii="Times New Roman" w:hAnsi="Times New Roman" w:eastAsia="方正小标宋_GBK" w:cs="Times New Roman"/>
          <w:b/>
          <w:color w:val="auto"/>
          <w:kern w:val="2"/>
          <w:sz w:val="36"/>
          <w:szCs w:val="36"/>
          <w:highlight w:val="none"/>
          <w:u w:val="none"/>
          <w:lang w:val="en-US" w:eastAsia="zh-CN" w:bidi="ar-SA"/>
        </w:rPr>
      </w:pPr>
      <w:bookmarkStart w:id="128" w:name="_Toc20461"/>
      <w:bookmarkStart w:id="129" w:name="_Toc25296"/>
      <w:r>
        <w:rPr>
          <w:rFonts w:hint="eastAsia" w:ascii="Times New Roman" w:hAnsi="Times New Roman" w:eastAsia="方正小标宋_GBK" w:cs="Times New Roman"/>
          <w:b/>
          <w:color w:val="auto"/>
          <w:kern w:val="2"/>
          <w:sz w:val="36"/>
          <w:szCs w:val="36"/>
          <w:highlight w:val="none"/>
          <w:u w:val="none"/>
          <w:lang w:val="en-US" w:eastAsia="zh-CN" w:bidi="ar-SA"/>
        </w:rPr>
        <w:t>板块二：农业农村</w:t>
      </w:r>
      <w:bookmarkEnd w:id="128"/>
      <w:bookmarkEnd w:id="129"/>
    </w:p>
    <w:p w14:paraId="1CB5BF37">
      <w:pPr>
        <w:keepNext/>
        <w:keepLines/>
        <w:pageBreakBefore w:val="0"/>
        <w:widowControl w:val="0"/>
        <w:numPr>
          <w:ilvl w:val="0"/>
          <w:numId w:val="0"/>
        </w:numPr>
        <w:kinsoku/>
        <w:wordWrap/>
        <w:overflowPunct/>
        <w:topLinePunct w:val="0"/>
        <w:autoSpaceDE/>
        <w:autoSpaceDN/>
        <w:bidi w:val="0"/>
        <w:adjustRightInd w:val="0"/>
        <w:snapToGrid w:val="0"/>
        <w:spacing w:before="541" w:beforeLines="150" w:after="439" w:afterLines="100" w:line="560" w:lineRule="exact"/>
        <w:ind w:leftChars="0"/>
        <w:jc w:val="center"/>
        <w:textAlignment w:val="auto"/>
        <w:outlineLvl w:val="1"/>
        <w:rPr>
          <w:rFonts w:hint="eastAsia" w:ascii="Times New Roman" w:hAnsi="Times New Roman" w:eastAsia="仿宋_GB2312" w:cs="Times New Roman"/>
          <w:color w:val="auto"/>
          <w:kern w:val="2"/>
          <w:sz w:val="32"/>
          <w:szCs w:val="32"/>
          <w:highlight w:val="none"/>
          <w:u w:val="none"/>
          <w:lang w:val="en-US" w:eastAsia="zh-CN" w:bidi="ar"/>
        </w:rPr>
      </w:pPr>
      <w:bookmarkStart w:id="130" w:name="_Toc8107"/>
      <w:bookmarkStart w:id="131" w:name="_Toc14537"/>
      <w:r>
        <w:rPr>
          <w:rFonts w:hint="eastAsia" w:ascii="Times New Roman" w:hAnsi="Times New Roman" w:eastAsia="方正小标宋_GBK" w:cs="Times New Roman"/>
          <w:b/>
          <w:color w:val="auto"/>
          <w:kern w:val="2"/>
          <w:sz w:val="36"/>
          <w:szCs w:val="36"/>
          <w:highlight w:val="none"/>
          <w:u w:val="none"/>
          <w:lang w:val="en-US" w:eastAsia="zh-CN" w:bidi="ar-SA"/>
        </w:rPr>
        <w:t>第五章聚力乡村振兴，全面加快农业农村现代化</w:t>
      </w:r>
      <w:bookmarkEnd w:id="117"/>
      <w:bookmarkEnd w:id="130"/>
      <w:bookmarkEnd w:id="131"/>
    </w:p>
    <w:p w14:paraId="44B7E2E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Times New Roman" w:hAnsi="Times New Roman" w:eastAsia="仿宋_GB2312" w:cs="Times New Roman"/>
          <w:color w:val="auto"/>
          <w:kern w:val="2"/>
          <w:sz w:val="32"/>
          <w:szCs w:val="32"/>
          <w:highlight w:val="none"/>
          <w:u w:val="none"/>
          <w:lang w:val="en-US" w:eastAsia="zh-CN" w:bidi="ar"/>
        </w:rPr>
        <w:t>立足农业大县基础，以“千万工程”为引领，聚焦粮食生产、富民产业、质量兴农、乡村建设四大方向，推进农民持续增收，实现农业强、农村美、农民富，打造产业兴旺、生态宜居、乡风文明、治理有效、生活富裕的现代化农村，力争在全市乡村振兴中走在前列。</w:t>
      </w:r>
    </w:p>
    <w:p w14:paraId="2FF0CA1B">
      <w:pPr>
        <w:keepNext/>
        <w:keepLines/>
        <w:pageBreakBefore w:val="0"/>
        <w:widowControl w:val="0"/>
        <w:numPr>
          <w:ilvl w:val="0"/>
          <w:numId w:val="0"/>
        </w:numPr>
        <w:kinsoku/>
        <w:wordWrap/>
        <w:overflowPunct/>
        <w:topLinePunct w:val="0"/>
        <w:autoSpaceDE/>
        <w:autoSpaceDN/>
        <w:bidi w:val="0"/>
        <w:adjustRightInd w:val="0"/>
        <w:snapToGrid w:val="0"/>
        <w:spacing w:before="156" w:beforeLines="50" w:after="156" w:afterLines="50" w:line="560" w:lineRule="exact"/>
        <w:ind w:leftChars="0"/>
        <w:jc w:val="center"/>
        <w:textAlignment w:val="auto"/>
        <w:outlineLvl w:val="2"/>
        <w:rPr>
          <w:rFonts w:hint="eastAsia" w:ascii="Times New Roman" w:hAnsi="Times New Roman" w:eastAsia="黑体" w:cs="Times New Roman"/>
          <w:b/>
          <w:bCs/>
          <w:color w:val="auto"/>
          <w:kern w:val="2"/>
          <w:sz w:val="32"/>
          <w:szCs w:val="32"/>
          <w:highlight w:val="none"/>
          <w:u w:val="none"/>
          <w:lang w:val="en-US" w:eastAsia="zh-CN" w:bidi="ar-SA"/>
        </w:rPr>
      </w:pPr>
      <w:bookmarkStart w:id="132" w:name="_Toc23394"/>
      <w:bookmarkStart w:id="133" w:name="_Toc20191"/>
      <w:bookmarkStart w:id="134" w:name="_Toc31870"/>
      <w:r>
        <w:rPr>
          <w:rFonts w:hint="eastAsia" w:ascii="Times New Roman" w:hAnsi="Times New Roman" w:eastAsia="黑体" w:cs="Times New Roman"/>
          <w:b/>
          <w:bCs/>
          <w:color w:val="auto"/>
          <w:kern w:val="2"/>
          <w:sz w:val="32"/>
          <w:szCs w:val="32"/>
          <w:highlight w:val="none"/>
          <w:u w:val="none"/>
          <w:lang w:val="en-US" w:eastAsia="zh-CN" w:bidi="ar-SA"/>
        </w:rPr>
        <w:t>第一节稳固粮食生产能力</w:t>
      </w:r>
      <w:bookmarkEnd w:id="132"/>
      <w:bookmarkEnd w:id="133"/>
      <w:bookmarkEnd w:id="134"/>
    </w:p>
    <w:p w14:paraId="1A83776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Times New Roman" w:hAnsi="Times New Roman" w:eastAsia="仿宋_GB2312" w:cs="Times New Roman"/>
          <w:color w:val="auto"/>
          <w:kern w:val="2"/>
          <w:sz w:val="32"/>
          <w:szCs w:val="32"/>
          <w:highlight w:val="none"/>
          <w:u w:val="none"/>
          <w:lang w:val="en-US" w:eastAsia="zh-CN" w:bidi="ar"/>
        </w:rPr>
        <w:t>扛稳粮食安全重任，坚持藏粮于地、藏粮于技，构建“良田、良机、良种、良法、良制”协同发力的粮食生产体系。</w:t>
      </w:r>
    </w:p>
    <w:p w14:paraId="7825FFAD">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default" w:ascii="Times New Roman" w:hAnsi="Times New Roman" w:eastAsia="仿宋_GB2312" w:cs="Times New Roman"/>
          <w:color w:val="auto"/>
          <w:kern w:val="2"/>
          <w:sz w:val="32"/>
          <w:szCs w:val="32"/>
          <w:highlight w:val="none"/>
          <w:u w:val="none"/>
          <w:lang w:val="en-US" w:eastAsia="zh-CN" w:bidi="ar"/>
        </w:rPr>
      </w:pPr>
      <w:r>
        <w:rPr>
          <w:rFonts w:hint="eastAsia" w:ascii="楷体_GB2312" w:hAnsi="楷体_GB2312" w:eastAsia="楷体_GB2312" w:cs="楷体_GB2312"/>
          <w:b/>
          <w:bCs/>
          <w:color w:val="auto"/>
          <w:kern w:val="2"/>
          <w:sz w:val="32"/>
          <w:szCs w:val="32"/>
          <w:u w:val="none"/>
          <w:lang w:val="en-US" w:eastAsia="zh-CN" w:bidi="ar-SA"/>
        </w:rPr>
        <w:t>严守耕地保护与建设底线。</w:t>
      </w:r>
      <w:r>
        <w:rPr>
          <w:rFonts w:hint="eastAsia" w:ascii="Times New Roman" w:hAnsi="Times New Roman" w:eastAsia="仿宋_GB2312" w:cs="Times New Roman"/>
          <w:color w:val="auto"/>
          <w:kern w:val="2"/>
          <w:sz w:val="32"/>
          <w:szCs w:val="32"/>
          <w:highlight w:val="none"/>
          <w:u w:val="none"/>
          <w:lang w:val="en-US" w:eastAsia="zh-CN" w:bidi="ar"/>
        </w:rPr>
        <w:t>严格落实耕地保护制度，坚决防止耕地“非农化”“非粮化”，加快粮食生产功能区、重要农产品生产保护区标准化建设。实施高标准农田建设升级行动，统筹推进田块整治、土壤改良、灌溉排水、灌溉排水、智能装备等工程。“十五五”期间，提升改造高标准农田40万亩。</w:t>
      </w:r>
    </w:p>
    <w:p w14:paraId="38F0A350">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楷体_GB2312" w:hAnsi="楷体_GB2312" w:eastAsia="楷体_GB2312" w:cs="楷体_GB2312"/>
          <w:b/>
          <w:bCs/>
          <w:color w:val="auto"/>
          <w:kern w:val="2"/>
          <w:sz w:val="32"/>
          <w:szCs w:val="32"/>
          <w:u w:val="none"/>
          <w:lang w:val="en-US" w:eastAsia="zh-CN" w:bidi="ar-SA"/>
        </w:rPr>
        <w:t>强化农业科技与装备支撑。</w:t>
      </w:r>
      <w:r>
        <w:rPr>
          <w:rFonts w:hint="eastAsia" w:ascii="Times New Roman" w:hAnsi="Times New Roman" w:eastAsia="仿宋_GB2312" w:cs="Times New Roman"/>
          <w:color w:val="auto"/>
          <w:kern w:val="2"/>
          <w:sz w:val="32"/>
          <w:szCs w:val="32"/>
          <w:highlight w:val="none"/>
          <w:u w:val="none"/>
          <w:lang w:val="en-US" w:eastAsia="zh-CN" w:bidi="ar"/>
        </w:rPr>
        <w:t>推广良种良法配套、测土配方施肥、病虫害绿色防控等关键技术，加大农业智能装备应用，推进水肥一体化、智慧农业系统与种植基地深度融合。实施农业机械化基础设施及技术水平提升工程，补齐农机装备短板，优化农机装备结构，推进农业机械化转型升级和农业绿色发展，加快高端农机装备的引进推广。</w:t>
      </w:r>
    </w:p>
    <w:p w14:paraId="4F3E6A0C">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楷体_GB2312" w:hAnsi="楷体_GB2312" w:eastAsia="楷体_GB2312" w:cs="楷体_GB2312"/>
          <w:b/>
          <w:bCs/>
          <w:color w:val="auto"/>
          <w:kern w:val="2"/>
          <w:sz w:val="32"/>
          <w:szCs w:val="32"/>
          <w:u w:val="none"/>
          <w:lang w:val="en-US" w:eastAsia="zh-CN" w:bidi="ar-SA"/>
        </w:rPr>
        <w:t>构建智慧农业发展体系。</w:t>
      </w:r>
      <w:r>
        <w:rPr>
          <w:rFonts w:hint="eastAsia" w:ascii="Times New Roman" w:hAnsi="Times New Roman" w:eastAsia="仿宋_GB2312" w:cs="Times New Roman"/>
          <w:color w:val="auto"/>
          <w:kern w:val="2"/>
          <w:sz w:val="32"/>
          <w:szCs w:val="32"/>
          <w:highlight w:val="none"/>
          <w:u w:val="none"/>
          <w:lang w:val="en-US" w:eastAsia="zh-CN" w:bidi="ar"/>
        </w:rPr>
        <w:t>实施智慧农业工程，布局农田智能监测终端，构建精准化种植、数字化管理、可视化溯源的智慧农业体系，提升粮食生产全程机械化、智能化水平，夯实粮食安全科技支撑。</w:t>
      </w:r>
    </w:p>
    <w:p w14:paraId="176C0A02">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楷体_GB2312" w:hAnsi="楷体_GB2312" w:eastAsia="楷体_GB2312" w:cs="楷体_GB2312"/>
          <w:b/>
          <w:bCs/>
          <w:color w:val="auto"/>
          <w:kern w:val="2"/>
          <w:sz w:val="32"/>
          <w:szCs w:val="32"/>
          <w:u w:val="none"/>
          <w:lang w:val="en-US" w:eastAsia="zh-CN" w:bidi="ar-SA"/>
        </w:rPr>
        <w:t>提升农业防灾减灾能力。</w:t>
      </w:r>
      <w:r>
        <w:rPr>
          <w:rFonts w:hint="eastAsia" w:ascii="Times New Roman" w:hAnsi="Times New Roman" w:eastAsia="仿宋_GB2312" w:cs="Times New Roman"/>
          <w:color w:val="auto"/>
          <w:kern w:val="2"/>
          <w:sz w:val="32"/>
          <w:szCs w:val="32"/>
          <w:highlight w:val="none"/>
          <w:u w:val="none"/>
          <w:lang w:val="en-US" w:eastAsia="zh-CN" w:bidi="ar"/>
        </w:rPr>
        <w:t>强化气象为农服务，加强灾害风险监测预警预报，最大程度减轻灾害损失。建设现代化防洪减灾体系，加强中小河流治理和大中型灌区建设改造。推进农田水利设施建设和沟渠整治，加强农田防护林建设。做好农作物病虫害监测预警和统防统治。</w:t>
      </w:r>
    </w:p>
    <w:p w14:paraId="05D1D4CF">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楷体_GB2312" w:hAnsi="楷体_GB2312" w:eastAsia="楷体_GB2312" w:cs="楷体_GB2312"/>
          <w:b/>
          <w:bCs/>
          <w:color w:val="auto"/>
          <w:kern w:val="2"/>
          <w:sz w:val="32"/>
          <w:szCs w:val="32"/>
          <w:u w:val="none"/>
          <w:lang w:val="en-US" w:eastAsia="zh-CN" w:bidi="ar-SA"/>
        </w:rPr>
        <w:t>健全粮食安全保障体系。</w:t>
      </w:r>
      <w:r>
        <w:rPr>
          <w:rFonts w:hint="eastAsia" w:ascii="Times New Roman" w:hAnsi="Times New Roman" w:eastAsia="仿宋_GB2312" w:cs="Times New Roman"/>
          <w:color w:val="auto"/>
          <w:kern w:val="2"/>
          <w:sz w:val="32"/>
          <w:szCs w:val="32"/>
          <w:highlight w:val="none"/>
          <w:u w:val="none"/>
          <w:lang w:val="en-US" w:eastAsia="zh-CN" w:bidi="ar"/>
        </w:rPr>
        <w:t>深化国有粮食企业改革，建设现代化粮食仓储设施，提升粮食储备能力。加强粮食流通管理，保障粮食市场供应和价格稳定。落实粮食安全党政同责，健全粮食安全考核机制，确保粮食安全责任落到实处。</w:t>
      </w:r>
    </w:p>
    <w:p w14:paraId="51B13DB0">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楷体_GB2312" w:hAnsi="楷体_GB2312" w:eastAsia="楷体_GB2312" w:cs="楷体_GB2312"/>
          <w:b/>
          <w:bCs/>
          <w:color w:val="auto"/>
          <w:kern w:val="2"/>
          <w:sz w:val="32"/>
          <w:szCs w:val="32"/>
          <w:u w:val="none"/>
          <w:lang w:val="en-US" w:eastAsia="zh-CN" w:bidi="ar-SA"/>
        </w:rPr>
        <w:t>完善农业服务与监管体系。</w:t>
      </w:r>
      <w:r>
        <w:rPr>
          <w:rFonts w:hint="eastAsia" w:ascii="Times New Roman" w:hAnsi="Times New Roman" w:eastAsia="仿宋_GB2312" w:cs="Times New Roman"/>
          <w:color w:val="auto"/>
          <w:kern w:val="2"/>
          <w:sz w:val="32"/>
          <w:szCs w:val="32"/>
          <w:highlight w:val="none"/>
          <w:u w:val="none"/>
          <w:lang w:val="en-US" w:eastAsia="zh-CN" w:bidi="ar"/>
        </w:rPr>
        <w:t>完善基层农业技术推广服务体系，强化新品种新技术引进推广，加强农产品质量监管、农机监管与维护、面源污染监控和技术培训体系建设。</w:t>
      </w:r>
    </w:p>
    <w:p w14:paraId="51A08480">
      <w:pPr>
        <w:keepNext w:val="0"/>
        <w:keepLines w:val="0"/>
        <w:pageBreakBefore w:val="0"/>
        <w:widowControl w:val="0"/>
        <w:kinsoku/>
        <w:wordWrap/>
        <w:overflowPunct/>
        <w:topLinePunct w:val="0"/>
        <w:autoSpaceDE/>
        <w:autoSpaceDN/>
        <w:bidi w:val="0"/>
        <w:adjustRightInd w:val="0"/>
        <w:snapToGrid w:val="0"/>
        <w:spacing w:after="721" w:afterLines="200" w:line="560" w:lineRule="exact"/>
        <w:ind w:firstLine="640"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Times New Roman" w:hAnsi="Times New Roman" w:eastAsia="仿宋_GB2312" w:cs="Times New Roman"/>
          <w:color w:val="auto"/>
          <w:kern w:val="2"/>
          <w:sz w:val="32"/>
          <w:szCs w:val="32"/>
          <w:highlight w:val="none"/>
          <w:u w:val="none"/>
          <w:lang w:val="en-US" w:eastAsia="zh-CN" w:bidi="ar"/>
        </w:rPr>
        <w:t>“十五五”期间，确保完成上级下达的耕地保有量和永久基础农田保护任务、粮食年产量稳定在14.5亿斤左右。</w:t>
      </w:r>
    </w:p>
    <w:tbl>
      <w:tblPr>
        <w:tblStyle w:val="2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43"/>
      </w:tblGrid>
      <w:tr w14:paraId="7B8189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jc w:val="center"/>
        </w:trPr>
        <w:tc>
          <w:tcPr>
            <w:tcW w:w="8543" w:type="dxa"/>
            <w:noWrap w:val="0"/>
            <w:vAlign w:val="center"/>
          </w:tcPr>
          <w:p w14:paraId="45049BDD">
            <w:pPr>
              <w:keepNext w:val="0"/>
              <w:keepLines w:val="0"/>
              <w:pageBreakBefore w:val="0"/>
              <w:widowControl w:val="0"/>
              <w:suppressLineNumbers w:val="0"/>
              <w:kinsoku/>
              <w:wordWrap/>
              <w:overflowPunct/>
              <w:topLinePunct w:val="0"/>
              <w:autoSpaceDE/>
              <w:autoSpaceDN/>
              <w:bidi w:val="0"/>
              <w:adjustRightInd w:val="0"/>
              <w:snapToGrid w:val="0"/>
              <w:spacing w:beforeAutospacing="0" w:afterAutospacing="0" w:line="400" w:lineRule="exact"/>
              <w:ind w:left="0" w:right="0" w:firstLine="0" w:firstLineChars="0"/>
              <w:jc w:val="center"/>
              <w:textAlignment w:val="auto"/>
              <w:rPr>
                <w:rFonts w:hint="default" w:ascii="Times New Roman" w:hAnsi="Times New Roman" w:eastAsia="仿宋" w:cs="Times New Roman"/>
                <w:color w:val="auto"/>
                <w:sz w:val="28"/>
                <w:szCs w:val="28"/>
                <w:highlight w:val="none"/>
                <w:u w:val="none"/>
                <w:shd w:val="clear" w:color="auto" w:fill="FFFFFF"/>
              </w:rPr>
            </w:pPr>
            <w:r>
              <w:rPr>
                <w:rFonts w:hint="eastAsia" w:ascii="楷体_GB2312" w:hAnsi="楷体_GB2312" w:eastAsia="楷体_GB2312" w:cs="楷体_GB2312"/>
                <w:b/>
                <w:bCs w:val="0"/>
                <w:color w:val="auto"/>
                <w:kern w:val="2"/>
                <w:sz w:val="28"/>
                <w:szCs w:val="28"/>
                <w:highlight w:val="none"/>
                <w:u w:val="none"/>
                <w:shd w:val="clear" w:color="auto" w:fill="FFFFFF"/>
                <w:lang w:val="en-US" w:eastAsia="zh-CN" w:bidi="ar-SA"/>
              </w:rPr>
              <w:t>专栏5-1：“十五五”粮食生产安全保障重点项目</w:t>
            </w:r>
          </w:p>
        </w:tc>
      </w:tr>
      <w:tr w14:paraId="31B62D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8543" w:type="dxa"/>
            <w:noWrap w:val="0"/>
            <w:vAlign w:val="center"/>
          </w:tcPr>
          <w:p w14:paraId="092D4A1F">
            <w:pPr>
              <w:keepNext w:val="0"/>
              <w:keepLines w:val="0"/>
              <w:pageBreakBefore w:val="0"/>
              <w:widowControl w:val="0"/>
              <w:suppressLineNumbers w:val="0"/>
              <w:kinsoku/>
              <w:wordWrap/>
              <w:overflowPunct/>
              <w:topLinePunct w:val="0"/>
              <w:autoSpaceDE/>
              <w:autoSpaceDN/>
              <w:bidi w:val="0"/>
              <w:adjustRightInd w:val="0"/>
              <w:snapToGrid w:val="0"/>
              <w:spacing w:beforeAutospacing="0" w:afterAutospacing="0" w:line="400" w:lineRule="exact"/>
              <w:ind w:left="0" w:right="0" w:firstLine="562" w:firstLineChars="200"/>
              <w:jc w:val="both"/>
              <w:textAlignment w:val="auto"/>
              <w:rPr>
                <w:rFonts w:hint="default" w:ascii="Times New Roman" w:hAnsi="Times New Roman" w:eastAsia="仿宋_GB2312" w:cs="Times New Roman"/>
                <w:b w:val="0"/>
                <w:bCs w:val="0"/>
                <w:color w:val="auto"/>
                <w:kern w:val="2"/>
                <w:sz w:val="28"/>
                <w:szCs w:val="28"/>
                <w:highlight w:val="none"/>
                <w:u w:val="none"/>
                <w:lang w:val="en-US" w:eastAsia="zh-CN" w:bidi="ar-SA"/>
              </w:rPr>
            </w:pPr>
            <w:r>
              <w:rPr>
                <w:rFonts w:hint="eastAsia" w:ascii="Times New Roman" w:hAnsi="Times New Roman" w:eastAsia="仿宋_GB2312" w:cs="Times New Roman"/>
                <w:b/>
                <w:bCs/>
                <w:color w:val="auto"/>
                <w:kern w:val="2"/>
                <w:sz w:val="28"/>
                <w:szCs w:val="28"/>
                <w:highlight w:val="none"/>
                <w:u w:val="none"/>
                <w:lang w:val="en-US" w:eastAsia="zh-CN" w:bidi="ar-SA"/>
              </w:rPr>
              <w:t>重点实施</w:t>
            </w:r>
            <w:r>
              <w:rPr>
                <w:rFonts w:hint="eastAsia" w:ascii="Times New Roman" w:hAnsi="Times New Roman" w:eastAsia="仿宋_GB2312" w:cs="Times New Roman"/>
                <w:b w:val="0"/>
                <w:bCs w:val="0"/>
                <w:color w:val="auto"/>
                <w:kern w:val="2"/>
                <w:sz w:val="28"/>
                <w:szCs w:val="28"/>
                <w:highlight w:val="none"/>
                <w:u w:val="none"/>
                <w:lang w:val="en-US" w:eastAsia="zh-CN" w:bidi="ar-SA"/>
              </w:rPr>
              <w:t>扶沟县2026年高标准农田建设项目，扶沟县2026年玉米单产提升工程。</w:t>
            </w:r>
          </w:p>
        </w:tc>
      </w:tr>
    </w:tbl>
    <w:p w14:paraId="474509EF">
      <w:pPr>
        <w:keepNext/>
        <w:keepLines/>
        <w:pageBreakBefore w:val="0"/>
        <w:widowControl w:val="0"/>
        <w:numPr>
          <w:ilvl w:val="0"/>
          <w:numId w:val="0"/>
        </w:numPr>
        <w:kinsoku/>
        <w:wordWrap/>
        <w:overflowPunct/>
        <w:topLinePunct w:val="0"/>
        <w:autoSpaceDE/>
        <w:autoSpaceDN/>
        <w:bidi w:val="0"/>
        <w:adjustRightInd w:val="0"/>
        <w:snapToGrid w:val="0"/>
        <w:spacing w:before="361" w:beforeLines="100" w:after="156" w:afterLines="50" w:line="560" w:lineRule="exact"/>
        <w:ind w:leftChars="0"/>
        <w:jc w:val="center"/>
        <w:textAlignment w:val="auto"/>
        <w:outlineLvl w:val="2"/>
        <w:rPr>
          <w:rFonts w:hint="default" w:ascii="Times New Roman" w:hAnsi="Times New Roman" w:eastAsia="黑体" w:cs="Times New Roman"/>
          <w:b/>
          <w:bCs/>
          <w:color w:val="auto"/>
          <w:kern w:val="2"/>
          <w:sz w:val="32"/>
          <w:szCs w:val="32"/>
          <w:highlight w:val="none"/>
          <w:u w:val="none"/>
          <w:lang w:val="en-US" w:eastAsia="zh-CN" w:bidi="ar-SA"/>
        </w:rPr>
      </w:pPr>
      <w:bookmarkStart w:id="135" w:name="_Toc3128"/>
      <w:bookmarkStart w:id="136" w:name="_Toc7015"/>
      <w:bookmarkStart w:id="137" w:name="_Toc7340"/>
      <w:r>
        <w:rPr>
          <w:rFonts w:hint="eastAsia" w:ascii="Times New Roman" w:hAnsi="Times New Roman" w:eastAsia="黑体" w:cs="Times New Roman"/>
          <w:b/>
          <w:bCs/>
          <w:color w:val="auto"/>
          <w:kern w:val="2"/>
          <w:sz w:val="32"/>
          <w:szCs w:val="32"/>
          <w:highlight w:val="none"/>
          <w:u w:val="none"/>
          <w:lang w:val="en-US" w:eastAsia="zh-CN" w:bidi="ar-SA"/>
        </w:rPr>
        <w:t>第二节</w:t>
      </w:r>
      <w:bookmarkEnd w:id="135"/>
      <w:bookmarkEnd w:id="136"/>
      <w:r>
        <w:rPr>
          <w:rFonts w:hint="eastAsia" w:ascii="Times New Roman" w:hAnsi="Times New Roman" w:eastAsia="黑体" w:cs="Times New Roman"/>
          <w:b/>
          <w:bCs/>
          <w:color w:val="auto"/>
          <w:kern w:val="2"/>
          <w:sz w:val="32"/>
          <w:szCs w:val="32"/>
          <w:highlight w:val="none"/>
          <w:u w:val="none"/>
          <w:lang w:val="en-US" w:eastAsia="zh-CN" w:bidi="ar-SA"/>
        </w:rPr>
        <w:t>发展乡村富民产业</w:t>
      </w:r>
      <w:bookmarkEnd w:id="137"/>
    </w:p>
    <w:p w14:paraId="12E9982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Times New Roman" w:hAnsi="Times New Roman" w:eastAsia="仿宋_GB2312" w:cs="Times New Roman"/>
          <w:color w:val="auto"/>
          <w:kern w:val="2"/>
          <w:sz w:val="32"/>
          <w:szCs w:val="32"/>
          <w:highlight w:val="none"/>
          <w:u w:val="none"/>
          <w:lang w:val="en-US" w:eastAsia="zh-CN" w:bidi="ar"/>
        </w:rPr>
        <w:t>依托扶沟农业资源优势，以“品牌化、规模化、产业化”为方向，重点培育蔬菜、畜牧、花生等特色产业，持续深化“一业一品牌、一域一特色”的产业格局，推动特色农业从“产量优势”向“质量优势、品牌优势”转变。</w:t>
      </w:r>
    </w:p>
    <w:p w14:paraId="77D2AE70">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楷体_GB2312" w:hAnsi="楷体_GB2312" w:eastAsia="楷体_GB2312" w:cs="楷体_GB2312"/>
          <w:b/>
          <w:bCs/>
          <w:color w:val="auto"/>
          <w:kern w:val="2"/>
          <w:sz w:val="32"/>
          <w:szCs w:val="32"/>
          <w:u w:val="none"/>
          <w:lang w:val="en-US" w:eastAsia="zh-CN" w:bidi="ar-SA"/>
        </w:rPr>
        <w:t>打造“全生态蔬菜之都”。</w:t>
      </w:r>
      <w:r>
        <w:rPr>
          <w:rFonts w:hint="eastAsia" w:ascii="Times New Roman" w:hAnsi="Times New Roman" w:eastAsia="仿宋_GB2312" w:cs="Times New Roman"/>
          <w:color w:val="auto"/>
          <w:kern w:val="2"/>
          <w:sz w:val="32"/>
          <w:szCs w:val="32"/>
          <w:highlight w:val="none"/>
          <w:u w:val="none"/>
          <w:lang w:val="en-US" w:eastAsia="zh-CN" w:bidi="ar"/>
        </w:rPr>
        <w:t>以创建国家级蔬菜现代农业产业园为抓手，推动蔬菜产业全链条升级。扩大规模与优化结构。“十五五”末实现瓜菜种植面积稳定在60万亩以上，其中设施蔬菜从18万亩扩展至25万亩，重点在柴岗乡（西红柿）、江村镇（早春西瓜）、吕潭乡（胡萝卜、西兰花）等乡镇建设专业化生产基地，形成“一乡一品”格局。推进全产业链发展。建设“扶沟县蔬菜全产业链数智服务平台”，整合种植、加工、物流、销售数据，实现“从田间到餐桌”全程可追溯；在汴岗镇建设辣椒产业园，配套建设日光温室大棚、玻璃温室、辣椒精深加工中心、冷藏库房，延伸产业链条；筹办“中原蔬菜博览会”，提升“扶沟蔬菜”品牌影响力。强化生态种植，推广“蔬菜+粪肥还田”“病虫害绿色防控”模式，在蔬菜主产区建设10个绿色防控示范区，使用生物农药、物理防治设备，确保蔬菜产品农残合格率100%。“十五五”末新增绿色食品认证蔬菜产品15个，全国名特优新农产品（蔬菜类）达12个。</w:t>
      </w:r>
    </w:p>
    <w:p w14:paraId="14E4CBC1">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楷体_GB2312" w:hAnsi="楷体_GB2312" w:eastAsia="楷体_GB2312" w:cs="楷体_GB2312"/>
          <w:b/>
          <w:bCs/>
          <w:color w:val="auto"/>
          <w:kern w:val="2"/>
          <w:sz w:val="32"/>
          <w:szCs w:val="32"/>
          <w:u w:val="none"/>
          <w:lang w:val="en-US" w:eastAsia="zh-CN" w:bidi="ar-SA"/>
        </w:rPr>
        <w:t>壮大“中原牧场”。</w:t>
      </w:r>
      <w:r>
        <w:rPr>
          <w:rFonts w:hint="eastAsia" w:ascii="Times New Roman" w:hAnsi="Times New Roman" w:eastAsia="仿宋_GB2312" w:cs="Times New Roman"/>
          <w:color w:val="auto"/>
          <w:kern w:val="2"/>
          <w:sz w:val="32"/>
          <w:szCs w:val="32"/>
          <w:highlight w:val="none"/>
          <w:u w:val="none"/>
          <w:lang w:val="en-US" w:eastAsia="zh-CN" w:bidi="ar"/>
        </w:rPr>
        <w:t>坚持“扶优扶强、绿色循环”原则，优化畜牧产业结构，做强生猪产业、做大牛羊产业、做优家禽产业、做精特色养殖。支持牧原、宝乐奶业等龙头企业发展，在宝乐科技生态示范园内，设立全国第二家奶牛科技小院创建国家级技术体系综合试验站筹建国家、省级奶牛核心育种场。2030年全县生猪年出栏稳定在150万头以上，建设1个年出栏10万头的现代化生猪养殖基地；肉牛存栏达3万头、肉羊存栏达15万只，禽类存栏达350万只以上，肉类总产量突破18万吨，牛奶产量3万吨。推进畜牧业绿色发展，建设扶沟县粪污集中处理中心，年处理粪污40万吨、生产有机肥20万吨，实现畜禽粪污资源化利用率达95%以上。强化品牌培育，打造“扶沟生猪”“扶沟肉牛”等特色品牌，推动畜产品“冷鲜上市”，建立“集中屠宰—品牌经营—冷链配送”产销模式，提升产品附加值，2030年畜牧业产值占农林牧渔业总产值比重达35%以上。</w:t>
      </w:r>
    </w:p>
    <w:p w14:paraId="22D048B7">
      <w:pPr>
        <w:keepNext w:val="0"/>
        <w:keepLines w:val="0"/>
        <w:pageBreakBefore w:val="0"/>
        <w:widowControl w:val="0"/>
        <w:kinsoku/>
        <w:wordWrap/>
        <w:overflowPunct/>
        <w:topLinePunct w:val="0"/>
        <w:autoSpaceDE/>
        <w:autoSpaceDN/>
        <w:bidi w:val="0"/>
        <w:adjustRightInd w:val="0"/>
        <w:snapToGrid w:val="0"/>
        <w:spacing w:after="721" w:afterLines="200" w:line="560" w:lineRule="exact"/>
        <w:ind w:firstLine="643"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楷体_GB2312" w:hAnsi="楷体_GB2312" w:eastAsia="楷体_GB2312" w:cs="楷体_GB2312"/>
          <w:b/>
          <w:bCs/>
          <w:color w:val="auto"/>
          <w:kern w:val="2"/>
          <w:sz w:val="32"/>
          <w:szCs w:val="32"/>
          <w:u w:val="none"/>
          <w:lang w:val="en-US" w:eastAsia="zh-CN" w:bidi="ar-SA"/>
        </w:rPr>
        <w:t>做强“优质花生”。</w:t>
      </w:r>
      <w:r>
        <w:rPr>
          <w:rFonts w:hint="eastAsia" w:ascii="Times New Roman" w:hAnsi="Times New Roman" w:eastAsia="仿宋_GB2312" w:cs="Times New Roman"/>
          <w:color w:val="auto"/>
          <w:kern w:val="2"/>
          <w:sz w:val="32"/>
          <w:szCs w:val="32"/>
          <w:highlight w:val="none"/>
          <w:u w:val="none"/>
          <w:lang w:val="en-US" w:eastAsia="zh-CN" w:bidi="ar"/>
        </w:rPr>
        <w:t>围绕“优质花生”战略，推动花生产业规模化、标准化、品牌化发展。稳定种植规模与提升品质。以曹里乡、白潭镇、包屯镇为核心，确保优质花生种植面积稳定在31万亩以上，重点推广高油酸花生品种，实现优质品率从“十四五”末的70%提升至90%。完善产业链条。建设“扶沟县优质花生现代农业产业园”，配套建设花生加工车间（生产花生酱、花生油）、仓储设施、检测中心；深化“双绑”机制（龙头企业绑定合作社、合作社绑定农户），培育壮大“豫香果果”花生加工龙头企业，带动2万户农户参与种植，实现亩均增收300元，户均增收1500元以上。拓展销售渠道。支持企业通过“电商+网红直播”模式，在抖音、拼多多等平台开设“扶沟花生”专区；组织企业参加全国农产品交易会，推动“扶沟花生”进入大型商超、连锁餐饮企业，叫响“中原优质花生之乡”品牌。</w:t>
      </w:r>
    </w:p>
    <w:tbl>
      <w:tblPr>
        <w:tblStyle w:val="2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74"/>
      </w:tblGrid>
      <w:tr w14:paraId="56F61A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jc w:val="center"/>
        </w:trPr>
        <w:tc>
          <w:tcPr>
            <w:tcW w:w="8674" w:type="dxa"/>
            <w:noWrap w:val="0"/>
            <w:vAlign w:val="center"/>
          </w:tcPr>
          <w:p w14:paraId="1EB7018F">
            <w:pPr>
              <w:keepNext w:val="0"/>
              <w:keepLines w:val="0"/>
              <w:pageBreakBefore w:val="0"/>
              <w:widowControl w:val="0"/>
              <w:suppressLineNumbers w:val="0"/>
              <w:kinsoku/>
              <w:wordWrap/>
              <w:overflowPunct/>
              <w:topLinePunct w:val="0"/>
              <w:autoSpaceDE/>
              <w:autoSpaceDN/>
              <w:bidi w:val="0"/>
              <w:adjustRightInd w:val="0"/>
              <w:snapToGrid w:val="0"/>
              <w:spacing w:beforeAutospacing="0" w:afterAutospacing="0" w:line="400" w:lineRule="exact"/>
              <w:ind w:left="0" w:right="0" w:firstLine="0" w:firstLineChars="0"/>
              <w:jc w:val="center"/>
              <w:textAlignment w:val="auto"/>
              <w:rPr>
                <w:rFonts w:hint="default" w:ascii="Times New Roman" w:hAnsi="Times New Roman" w:eastAsia="仿宋" w:cs="Times New Roman"/>
                <w:color w:val="auto"/>
                <w:sz w:val="28"/>
                <w:szCs w:val="28"/>
                <w:highlight w:val="none"/>
                <w:u w:val="none"/>
                <w:shd w:val="clear" w:color="auto" w:fill="FFFFFF"/>
              </w:rPr>
            </w:pPr>
            <w:r>
              <w:rPr>
                <w:rFonts w:hint="eastAsia" w:ascii="楷体_GB2312" w:hAnsi="楷体_GB2312" w:eastAsia="楷体_GB2312" w:cs="楷体_GB2312"/>
                <w:b/>
                <w:bCs w:val="0"/>
                <w:color w:val="auto"/>
                <w:sz w:val="28"/>
                <w:szCs w:val="28"/>
                <w:highlight w:val="none"/>
                <w:u w:val="none"/>
                <w:shd w:val="clear" w:color="auto" w:fill="FFFFFF"/>
                <w:lang w:val="en-US" w:eastAsia="zh-CN"/>
              </w:rPr>
              <w:t>专栏5-2：“十五五”期间乡村振兴产业重点项目</w:t>
            </w:r>
          </w:p>
        </w:tc>
      </w:tr>
      <w:tr w14:paraId="0CFF64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jc w:val="center"/>
        </w:trPr>
        <w:tc>
          <w:tcPr>
            <w:tcW w:w="8674" w:type="dxa"/>
            <w:noWrap w:val="0"/>
            <w:vAlign w:val="center"/>
          </w:tcPr>
          <w:p w14:paraId="148BC5FD">
            <w:pPr>
              <w:keepNext w:val="0"/>
              <w:keepLines w:val="0"/>
              <w:pageBreakBefore w:val="0"/>
              <w:widowControl w:val="0"/>
              <w:suppressLineNumbers w:val="0"/>
              <w:kinsoku/>
              <w:wordWrap/>
              <w:overflowPunct/>
              <w:topLinePunct w:val="0"/>
              <w:autoSpaceDE/>
              <w:autoSpaceDN/>
              <w:bidi w:val="0"/>
              <w:adjustRightInd w:val="0"/>
              <w:snapToGrid w:val="0"/>
              <w:spacing w:beforeAutospacing="0" w:afterAutospacing="0" w:line="400" w:lineRule="exact"/>
              <w:ind w:right="0" w:firstLine="562" w:firstLineChars="200"/>
              <w:jc w:val="both"/>
              <w:textAlignment w:val="auto"/>
              <w:rPr>
                <w:rFonts w:hint="eastAsia"/>
                <w:lang w:val="en-US" w:eastAsia="zh-CN"/>
              </w:rPr>
            </w:pPr>
            <w:r>
              <w:rPr>
                <w:rFonts w:hint="eastAsia" w:ascii="Times New Roman" w:hAnsi="Times New Roman" w:eastAsia="仿宋_GB2312" w:cs="Times New Roman"/>
                <w:b/>
                <w:bCs/>
                <w:color w:val="auto"/>
                <w:kern w:val="2"/>
                <w:sz w:val="28"/>
                <w:szCs w:val="28"/>
                <w:highlight w:val="none"/>
                <w:u w:val="none"/>
                <w:lang w:val="en-US" w:eastAsia="zh-CN" w:bidi="ar-SA"/>
              </w:rPr>
              <w:t>重点实施</w:t>
            </w:r>
            <w:r>
              <w:rPr>
                <w:rFonts w:hint="eastAsia" w:ascii="Times New Roman" w:hAnsi="Times New Roman" w:eastAsia="仿宋_GB2312" w:cs="Times New Roman"/>
                <w:color w:val="auto"/>
                <w:kern w:val="2"/>
                <w:sz w:val="28"/>
                <w:szCs w:val="28"/>
                <w:highlight w:val="none"/>
                <w:u w:val="none"/>
                <w:lang w:val="en-US" w:eastAsia="zh-CN" w:bidi="ar-SA"/>
              </w:rPr>
              <w:t>扶沟县农村道路基础设施建设项目、扶沟县农村基础设施下水道建设项目、扶沟县乡村产业发展建设项目、扶沟县柴岗乡梅桥村康养建设项目、扶沟县产业重点镇乡村振兴数字商贸综合体项目、扶沟县韭园镇小王庄村产业融合示范园建设项目、扶沟县2026年玉米单产提升工程建设项目、扶沟县2026年高标准农田建设项目、高素质农民培育工作。</w:t>
            </w:r>
          </w:p>
        </w:tc>
      </w:tr>
    </w:tbl>
    <w:p w14:paraId="66BB92E2">
      <w:pPr>
        <w:keepNext/>
        <w:keepLines/>
        <w:pageBreakBefore w:val="0"/>
        <w:widowControl w:val="0"/>
        <w:numPr>
          <w:ilvl w:val="0"/>
          <w:numId w:val="0"/>
        </w:numPr>
        <w:kinsoku/>
        <w:wordWrap/>
        <w:overflowPunct/>
        <w:topLinePunct w:val="0"/>
        <w:autoSpaceDE/>
        <w:autoSpaceDN/>
        <w:bidi w:val="0"/>
        <w:adjustRightInd w:val="0"/>
        <w:snapToGrid w:val="0"/>
        <w:spacing w:before="361" w:beforeLines="100" w:after="156" w:afterLines="50" w:line="560" w:lineRule="exact"/>
        <w:ind w:leftChars="0"/>
        <w:jc w:val="center"/>
        <w:textAlignment w:val="auto"/>
        <w:outlineLvl w:val="2"/>
        <w:rPr>
          <w:rFonts w:hint="default" w:ascii="Times New Roman" w:hAnsi="Times New Roman" w:eastAsia="黑体" w:cs="Times New Roman"/>
          <w:b/>
          <w:bCs/>
          <w:color w:val="auto"/>
          <w:kern w:val="2"/>
          <w:sz w:val="32"/>
          <w:szCs w:val="32"/>
          <w:highlight w:val="none"/>
          <w:u w:val="none"/>
          <w:lang w:val="en-US" w:eastAsia="zh-CN" w:bidi="ar-SA"/>
        </w:rPr>
      </w:pPr>
      <w:bookmarkStart w:id="138" w:name="_Toc18194"/>
      <w:bookmarkStart w:id="139" w:name="_Toc32587"/>
      <w:bookmarkStart w:id="140" w:name="_Toc1455"/>
      <w:r>
        <w:rPr>
          <w:rFonts w:hint="eastAsia" w:ascii="Times New Roman" w:hAnsi="Times New Roman" w:eastAsia="黑体" w:cs="Times New Roman"/>
          <w:b/>
          <w:bCs/>
          <w:color w:val="auto"/>
          <w:kern w:val="2"/>
          <w:sz w:val="32"/>
          <w:szCs w:val="32"/>
          <w:highlight w:val="none"/>
          <w:u w:val="none"/>
          <w:lang w:val="en-US" w:eastAsia="zh-CN" w:bidi="ar-SA"/>
        </w:rPr>
        <w:t>第三节</w:t>
      </w:r>
      <w:bookmarkEnd w:id="138"/>
      <w:bookmarkEnd w:id="139"/>
      <w:r>
        <w:rPr>
          <w:rFonts w:hint="eastAsia" w:ascii="Times New Roman" w:hAnsi="Times New Roman" w:eastAsia="黑体" w:cs="Times New Roman"/>
          <w:b/>
          <w:bCs/>
          <w:color w:val="auto"/>
          <w:kern w:val="2"/>
          <w:sz w:val="32"/>
          <w:szCs w:val="32"/>
          <w:highlight w:val="none"/>
          <w:u w:val="none"/>
          <w:lang w:val="en-US" w:eastAsia="zh-CN" w:bidi="ar-SA"/>
        </w:rPr>
        <w:t>推进和美乡村建设</w:t>
      </w:r>
      <w:bookmarkEnd w:id="140"/>
    </w:p>
    <w:p w14:paraId="7DE49C7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Times New Roman" w:hAnsi="Times New Roman" w:eastAsia="仿宋_GB2312" w:cs="Times New Roman"/>
          <w:color w:val="auto"/>
          <w:kern w:val="2"/>
          <w:sz w:val="32"/>
          <w:szCs w:val="32"/>
          <w:highlight w:val="none"/>
          <w:u w:val="none"/>
          <w:lang w:val="en-US" w:eastAsia="zh-CN" w:bidi="ar"/>
        </w:rPr>
        <w:t>乡村建设是农业农村现代化的“压舱石”，统筹推进乡村基础设施建设、人居环境整治、治理体系完善，推动乡村建设从“点状示范”向“全域提升”转变，构建“城乡一体、全域覆盖”的乡村发展支撑体系，着力打造宜居宜业和美乡村新典范。</w:t>
      </w:r>
    </w:p>
    <w:p w14:paraId="02D93B77">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楷体_GB2312" w:hAnsi="楷体_GB2312" w:eastAsia="楷体_GB2312" w:cs="楷体_GB2312"/>
          <w:b/>
          <w:bCs/>
          <w:color w:val="auto"/>
          <w:kern w:val="2"/>
          <w:sz w:val="32"/>
          <w:szCs w:val="32"/>
          <w:u w:val="none"/>
          <w:lang w:val="en-US" w:eastAsia="zh-CN" w:bidi="ar-SA"/>
        </w:rPr>
        <w:t>完善农村基础设施。</w:t>
      </w:r>
      <w:r>
        <w:rPr>
          <w:rFonts w:hint="eastAsia" w:ascii="Times New Roman" w:hAnsi="Times New Roman" w:eastAsia="仿宋_GB2312" w:cs="Times New Roman"/>
          <w:color w:val="auto"/>
          <w:kern w:val="2"/>
          <w:sz w:val="32"/>
          <w:szCs w:val="32"/>
          <w:highlight w:val="none"/>
          <w:u w:val="none"/>
          <w:lang w:val="en-US" w:eastAsia="zh-CN" w:bidi="ar"/>
        </w:rPr>
        <w:t>推进农村基础设施提档升级，实现“硬件”“软件”双提升。优化农村公路网络，对现有农村公路进行升级改造，实现村组通硬化路率100%，配套建设公交站点、物流网点，打通“最后一公里”。巩固规模化供水工程全覆盖成果，提升农村自来水水质达标率，2030年农村自来水入户率保持99.6%以上，饮水安全保障率100%。推进农村电网改造，实现动力电全覆盖；加快6G网络向乡村延伸，2030年实现行政村5G+覆盖率100%，推动“数字乡村”建设，建立覆盖乡村的数字化治理平台，提升政务、医疗、教育等公共服务智能化水平。</w:t>
      </w:r>
    </w:p>
    <w:p w14:paraId="447EF784">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楷体_GB2312" w:hAnsi="楷体_GB2312" w:eastAsia="楷体_GB2312" w:cs="楷体_GB2312"/>
          <w:b/>
          <w:bCs/>
          <w:color w:val="auto"/>
          <w:kern w:val="2"/>
          <w:sz w:val="32"/>
          <w:szCs w:val="32"/>
          <w:u w:val="none"/>
          <w:lang w:val="en-US" w:eastAsia="zh-CN" w:bidi="ar-SA"/>
        </w:rPr>
        <w:t>整治农村人居环境。</w:t>
      </w:r>
      <w:r>
        <w:rPr>
          <w:rFonts w:hint="eastAsia" w:ascii="Times New Roman" w:hAnsi="Times New Roman" w:eastAsia="仿宋_GB2312" w:cs="Times New Roman"/>
          <w:color w:val="auto"/>
          <w:kern w:val="2"/>
          <w:sz w:val="32"/>
          <w:szCs w:val="32"/>
          <w:highlight w:val="none"/>
          <w:u w:val="none"/>
          <w:lang w:val="en-US" w:eastAsia="zh-CN" w:bidi="ar"/>
        </w:rPr>
        <w:t>持续深化农村人居环境整治提升行动，重点推进“厕所革命”“垃圾治理”“污水治理”三大攻坚。2030年完成农村户厕改造10万户以上，卫生厕所普及率达85%以上，建立县乡两级改厕管护服务网络。完善“户分类、村收集、乡转运、县处理”垃圾治理体系，推广“两次四分法”垃圾分类模式，2030年农村生活垃圾处理率保持98%以上，垃圾分类示范村达100个。分区分类推进污水处置，城镇周边村庄纳入城镇管网，人口集中村落建设小型处理设施，分散村落推广生态处理技术，2030年农村污水治理率力争达到49%，完成黑臭水体整治10处以上。开展“一宅变四园”（小游园、小菜园、小果园、小花园）活动，2030年打造美丽庭院2万户，村庄绿化覆盖率达35%以上，实现“一村一景、一村一韵”。</w:t>
      </w:r>
    </w:p>
    <w:p w14:paraId="41CCC232">
      <w:pPr>
        <w:keepNext w:val="0"/>
        <w:keepLines w:val="0"/>
        <w:pageBreakBefore w:val="0"/>
        <w:widowControl w:val="0"/>
        <w:kinsoku/>
        <w:wordWrap/>
        <w:overflowPunct/>
        <w:topLinePunct w:val="0"/>
        <w:autoSpaceDE/>
        <w:autoSpaceDN/>
        <w:bidi w:val="0"/>
        <w:adjustRightInd w:val="0"/>
        <w:snapToGrid w:val="0"/>
        <w:spacing w:after="721" w:afterLines="200" w:line="560" w:lineRule="exact"/>
        <w:ind w:firstLine="643"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楷体_GB2312" w:hAnsi="楷体_GB2312" w:eastAsia="楷体_GB2312" w:cs="楷体_GB2312"/>
          <w:b/>
          <w:bCs/>
          <w:color w:val="auto"/>
          <w:kern w:val="2"/>
          <w:sz w:val="32"/>
          <w:szCs w:val="32"/>
          <w:u w:val="none"/>
          <w:lang w:val="en-US" w:eastAsia="zh-CN" w:bidi="ar-SA"/>
        </w:rPr>
        <w:t>健全农村治理体系。</w:t>
      </w:r>
      <w:r>
        <w:rPr>
          <w:rFonts w:hint="eastAsia" w:ascii="Times New Roman" w:hAnsi="Times New Roman" w:eastAsia="仿宋_GB2312" w:cs="Times New Roman"/>
          <w:color w:val="auto"/>
          <w:kern w:val="2"/>
          <w:sz w:val="32"/>
          <w:szCs w:val="32"/>
          <w:highlight w:val="none"/>
          <w:u w:val="none"/>
          <w:lang w:val="en-US" w:eastAsia="zh-CN" w:bidi="ar"/>
        </w:rPr>
        <w:t>构建“党组织领导、政府负责、社会协同、群众参与”的乡村治理体系。强化党建引领，深入推进“五星”支部创建，以“党建+产业”“党建+治理”为抓手，2030年实现“生态宜居星”“产业兴旺星”支部全覆盖。推广“积分制”“清单制”等治理模式，推进移风易俗，整治高额彩礼、大操大办等陋习。加强农村法治建设，建立“一村一法律顾问”制度，排查化解农村矛盾纠纷，推进平安乡村建设，实现乡村治理能力现代化水平显著提升。</w:t>
      </w:r>
    </w:p>
    <w:tbl>
      <w:tblPr>
        <w:tblStyle w:val="2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74"/>
      </w:tblGrid>
      <w:tr w14:paraId="3DC75E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jc w:val="center"/>
        </w:trPr>
        <w:tc>
          <w:tcPr>
            <w:tcW w:w="8674" w:type="dxa"/>
            <w:noWrap w:val="0"/>
            <w:vAlign w:val="center"/>
          </w:tcPr>
          <w:p w14:paraId="699BA58B">
            <w:pPr>
              <w:keepNext w:val="0"/>
              <w:keepLines w:val="0"/>
              <w:pageBreakBefore w:val="0"/>
              <w:widowControl w:val="0"/>
              <w:suppressLineNumbers w:val="0"/>
              <w:kinsoku/>
              <w:wordWrap/>
              <w:overflowPunct/>
              <w:topLinePunct w:val="0"/>
              <w:autoSpaceDE/>
              <w:autoSpaceDN/>
              <w:bidi w:val="0"/>
              <w:adjustRightInd w:val="0"/>
              <w:snapToGrid w:val="0"/>
              <w:spacing w:beforeAutospacing="0" w:afterAutospacing="0" w:line="400" w:lineRule="exact"/>
              <w:ind w:left="0" w:right="0" w:firstLine="0" w:firstLineChars="0"/>
              <w:jc w:val="center"/>
              <w:textAlignment w:val="auto"/>
              <w:rPr>
                <w:rFonts w:hint="default" w:ascii="Times New Roman" w:hAnsi="Times New Roman" w:eastAsia="仿宋" w:cs="Times New Roman"/>
                <w:color w:val="auto"/>
                <w:sz w:val="28"/>
                <w:szCs w:val="28"/>
                <w:highlight w:val="none"/>
                <w:u w:val="none"/>
                <w:shd w:val="clear" w:color="auto" w:fill="FFFFFF"/>
              </w:rPr>
            </w:pPr>
            <w:r>
              <w:rPr>
                <w:rFonts w:hint="eastAsia" w:ascii="楷体_GB2312" w:hAnsi="楷体_GB2312" w:eastAsia="楷体_GB2312" w:cs="楷体_GB2312"/>
                <w:b/>
                <w:bCs w:val="0"/>
                <w:color w:val="auto"/>
                <w:sz w:val="28"/>
                <w:szCs w:val="28"/>
                <w:highlight w:val="none"/>
                <w:u w:val="none"/>
                <w:shd w:val="clear" w:color="auto" w:fill="FFFFFF"/>
                <w:lang w:val="en-US" w:eastAsia="zh-CN"/>
              </w:rPr>
              <w:t>专栏5-3：“十五五”期间乡村建设重点项目</w:t>
            </w:r>
          </w:p>
        </w:tc>
      </w:tr>
      <w:tr w14:paraId="67AD62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jc w:val="center"/>
        </w:trPr>
        <w:tc>
          <w:tcPr>
            <w:tcW w:w="8674" w:type="dxa"/>
            <w:noWrap w:val="0"/>
            <w:vAlign w:val="center"/>
          </w:tcPr>
          <w:p w14:paraId="6A1B5BE2">
            <w:pPr>
              <w:keepNext w:val="0"/>
              <w:keepLines w:val="0"/>
              <w:pageBreakBefore w:val="0"/>
              <w:widowControl w:val="0"/>
              <w:suppressLineNumbers w:val="0"/>
              <w:kinsoku/>
              <w:wordWrap/>
              <w:overflowPunct/>
              <w:topLinePunct w:val="0"/>
              <w:autoSpaceDE/>
              <w:autoSpaceDN/>
              <w:bidi w:val="0"/>
              <w:adjustRightInd w:val="0"/>
              <w:snapToGrid w:val="0"/>
              <w:spacing w:beforeAutospacing="0" w:afterAutospacing="0" w:line="400" w:lineRule="exact"/>
              <w:ind w:left="0" w:right="0" w:firstLine="562" w:firstLineChars="200"/>
              <w:jc w:val="both"/>
              <w:textAlignment w:val="auto"/>
              <w:rPr>
                <w:rFonts w:hint="eastAsia"/>
                <w:lang w:val="en-US" w:eastAsia="zh-CN"/>
              </w:rPr>
            </w:pPr>
            <w:r>
              <w:rPr>
                <w:rFonts w:hint="eastAsia" w:ascii="Times New Roman" w:hAnsi="Times New Roman" w:eastAsia="仿宋_GB2312" w:cs="Times New Roman"/>
                <w:b/>
                <w:bCs/>
                <w:color w:val="auto"/>
                <w:kern w:val="2"/>
                <w:sz w:val="28"/>
                <w:szCs w:val="28"/>
                <w:highlight w:val="none"/>
                <w:u w:val="none"/>
                <w:lang w:val="en-US" w:eastAsia="zh-CN" w:bidi="ar-SA"/>
              </w:rPr>
              <w:t>重点实施</w:t>
            </w:r>
            <w:r>
              <w:rPr>
                <w:rFonts w:hint="eastAsia" w:ascii="Times New Roman" w:hAnsi="Times New Roman" w:eastAsia="仿宋_GB2312" w:cs="Times New Roman"/>
                <w:b w:val="0"/>
                <w:bCs w:val="0"/>
                <w:color w:val="auto"/>
                <w:kern w:val="2"/>
                <w:sz w:val="28"/>
                <w:szCs w:val="28"/>
                <w:highlight w:val="none"/>
                <w:u w:val="none"/>
                <w:lang w:val="en-US" w:eastAsia="zh-CN" w:bidi="ar-SA"/>
              </w:rPr>
              <w:t>扶沟县温控育种育苗智能设施建设项目、扶沟县1.5万头奶牛标准化规模养殖及初加工项目、扶沟县生态种子良种繁育基地建设项目、扶沟县汴岗镇辣椒产业园建设项目、扶沟县粪污集中处理中心项目、扶沟县蔬菜全产业链数智服务平台建设项目、扶沟县2026年高标准农田建设项目、扶沟县2026年玉米单产提升工程建设项目、河南省绿业元提质增产研究院项目。</w:t>
            </w:r>
          </w:p>
        </w:tc>
      </w:tr>
    </w:tbl>
    <w:p w14:paraId="7143D1E7">
      <w:pPr>
        <w:keepNext/>
        <w:keepLines/>
        <w:pageBreakBefore w:val="0"/>
        <w:widowControl w:val="0"/>
        <w:numPr>
          <w:ilvl w:val="0"/>
          <w:numId w:val="0"/>
        </w:numPr>
        <w:kinsoku/>
        <w:wordWrap/>
        <w:overflowPunct/>
        <w:topLinePunct w:val="0"/>
        <w:autoSpaceDE/>
        <w:autoSpaceDN/>
        <w:bidi w:val="0"/>
        <w:adjustRightInd w:val="0"/>
        <w:snapToGrid w:val="0"/>
        <w:spacing w:before="361" w:beforeLines="100" w:after="156" w:afterLines="50" w:line="560" w:lineRule="exact"/>
        <w:ind w:leftChars="0"/>
        <w:jc w:val="center"/>
        <w:textAlignment w:val="auto"/>
        <w:outlineLvl w:val="2"/>
        <w:rPr>
          <w:rFonts w:hint="eastAsia" w:ascii="Times New Roman" w:hAnsi="Times New Roman" w:eastAsia="黑体" w:cs="Times New Roman"/>
          <w:b/>
          <w:bCs/>
          <w:color w:val="auto"/>
          <w:kern w:val="2"/>
          <w:sz w:val="32"/>
          <w:szCs w:val="32"/>
          <w:highlight w:val="none"/>
          <w:u w:val="none"/>
          <w:lang w:val="en-US" w:eastAsia="zh-CN" w:bidi="ar-SA"/>
        </w:rPr>
      </w:pPr>
      <w:bookmarkStart w:id="141" w:name="_Toc32643"/>
      <w:bookmarkStart w:id="142" w:name="_Toc28983"/>
      <w:bookmarkStart w:id="143" w:name="_Toc2996"/>
      <w:r>
        <w:rPr>
          <w:rFonts w:hint="eastAsia" w:ascii="Times New Roman" w:hAnsi="Times New Roman" w:eastAsia="黑体" w:cs="Times New Roman"/>
          <w:b/>
          <w:bCs/>
          <w:color w:val="auto"/>
          <w:kern w:val="2"/>
          <w:sz w:val="32"/>
          <w:szCs w:val="32"/>
          <w:highlight w:val="none"/>
          <w:u w:val="none"/>
          <w:lang w:val="en-US" w:eastAsia="zh-CN" w:bidi="ar-SA"/>
        </w:rPr>
        <w:t>第四节</w:t>
      </w:r>
      <w:bookmarkEnd w:id="141"/>
      <w:bookmarkEnd w:id="142"/>
      <w:r>
        <w:rPr>
          <w:rFonts w:hint="eastAsia" w:ascii="Times New Roman" w:hAnsi="Times New Roman" w:eastAsia="黑体" w:cs="Times New Roman"/>
          <w:b/>
          <w:bCs/>
          <w:color w:val="auto"/>
          <w:kern w:val="2"/>
          <w:sz w:val="32"/>
          <w:szCs w:val="32"/>
          <w:highlight w:val="none"/>
          <w:u w:val="none"/>
          <w:lang w:val="en-US" w:eastAsia="zh-CN" w:bidi="ar-SA"/>
        </w:rPr>
        <w:t>拓展农民增收渠道</w:t>
      </w:r>
      <w:bookmarkEnd w:id="143"/>
    </w:p>
    <w:p w14:paraId="38914E0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Times New Roman" w:hAnsi="Times New Roman" w:eastAsia="仿宋_GB2312" w:cs="Times New Roman"/>
          <w:color w:val="auto"/>
          <w:kern w:val="2"/>
          <w:sz w:val="32"/>
          <w:szCs w:val="32"/>
          <w:highlight w:val="none"/>
          <w:u w:val="none"/>
          <w:lang w:val="en-US" w:eastAsia="zh-CN" w:bidi="ar"/>
        </w:rPr>
        <w:t>以农民持续增收为核心目标，全方位、多层次构建农民增收体系，保障农村低收入人群基本生活，激发全体农民的致富潜能，实现乡村共同富裕。</w:t>
      </w:r>
    </w:p>
    <w:p w14:paraId="09DCA6AA">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楷体_GB2312" w:hAnsi="楷体_GB2312" w:eastAsia="楷体_GB2312" w:cs="楷体_GB2312"/>
          <w:b/>
          <w:bCs/>
          <w:color w:val="auto"/>
          <w:kern w:val="2"/>
          <w:sz w:val="32"/>
          <w:szCs w:val="32"/>
          <w:u w:val="none"/>
          <w:lang w:val="en-US" w:eastAsia="zh-CN" w:bidi="ar-SA"/>
        </w:rPr>
        <w:t>守牢防返贫底线。</w:t>
      </w:r>
      <w:r>
        <w:rPr>
          <w:rFonts w:hint="eastAsia" w:ascii="Times New Roman" w:hAnsi="Times New Roman" w:eastAsia="仿宋_GB2312" w:cs="Times New Roman"/>
          <w:color w:val="auto"/>
          <w:kern w:val="2"/>
          <w:sz w:val="32"/>
          <w:szCs w:val="32"/>
          <w:highlight w:val="none"/>
          <w:u w:val="none"/>
          <w:lang w:val="en-US" w:eastAsia="zh-CN" w:bidi="ar"/>
        </w:rPr>
        <w:t>持续巩固提升“三保障”成果，健全防止返贫动态监测和帮扶长效机制，常态化监测脱贫户、边缘易致贫户以及农村低收入人群，提升防止返贫致贫监测帮扶效能，及时将存在返贫致贫风险的农户纳入帮扶范围。强化社会救助体系建设，严格落实最低生活保障制度，确保符合条件的困难群众“应保尽保”。</w:t>
      </w:r>
    </w:p>
    <w:p w14:paraId="775B15A6">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楷体_GB2312" w:hAnsi="楷体_GB2312" w:eastAsia="楷体_GB2312" w:cs="楷体_GB2312"/>
          <w:b/>
          <w:bCs/>
          <w:color w:val="auto"/>
          <w:kern w:val="2"/>
          <w:sz w:val="32"/>
          <w:szCs w:val="32"/>
          <w:u w:val="none"/>
          <w:lang w:val="en-US" w:eastAsia="zh-CN" w:bidi="ar-SA"/>
        </w:rPr>
        <w:t>促进农民多元增收。</w:t>
      </w:r>
      <w:r>
        <w:rPr>
          <w:rFonts w:hint="eastAsia" w:ascii="Times New Roman" w:hAnsi="Times New Roman" w:eastAsia="仿宋_GB2312" w:cs="Times New Roman"/>
          <w:color w:val="auto"/>
          <w:kern w:val="2"/>
          <w:sz w:val="32"/>
          <w:szCs w:val="32"/>
          <w:highlight w:val="none"/>
          <w:u w:val="none"/>
          <w:lang w:val="en-US" w:eastAsia="zh-CN" w:bidi="ar"/>
        </w:rPr>
        <w:t>深入实施“万企兴万村”行动，以产业振兴为抓手，构建农民多元化增收体系。依托产业带动，提升经营性收入。围绕蔬菜、花生、畜牧三大产业，通过“龙头企业+合作社+农户”模式，带动农户参与种植养殖、加工销售环节。依托美丽乡村建设成果，在大李庄街道办冯老村、韭园镇小王庄村等示范村发展休闲观光农业、农家乐。推进“农村电商提质工程”，建设县级电商公共服务中心1个、乡镇电商服务站16个，培育农村电商带头人500名，带动1万户农户通过电商增收。强化就业促进，增加工资性收入。开展技能培训，实施“高素质农民培育工程”，“十五五”期间培育高素质农民5000名，重点培训蔬菜种植、畜禽养殖、电商运营等技能；拓宽就业渠道，依托农业产业园、帮扶车间，开发就业岗位5000个，吸纳本地农民就近就业；与长三角、珠三角等发达地区建立劳务合作机制，每年组织劳务输出不少于2万人次；开发公益性岗位1000个，优先安置脱贫人口、残疾人等困难群体；支持返乡创业，优化返乡创业环境，建设返乡创业园5个，提供场地租赁、税费减免、金融支持等政策；“十五五”末吸引返乡创业人员5000名，带动就业2万人。开展农村宅基地整治。盘活闲置宅基地、厂房、养殖场、学校等资源，探索出租、入股、合作等盘活模式，激活农村“沉睡资产”。</w:t>
      </w:r>
    </w:p>
    <w:p w14:paraId="3DCA399B">
      <w:pPr>
        <w:keepNext/>
        <w:keepLines/>
        <w:pageBreakBefore w:val="0"/>
        <w:widowControl w:val="0"/>
        <w:numPr>
          <w:ilvl w:val="0"/>
          <w:numId w:val="0"/>
        </w:numPr>
        <w:kinsoku/>
        <w:wordWrap/>
        <w:overflowPunct/>
        <w:topLinePunct w:val="0"/>
        <w:autoSpaceDE/>
        <w:autoSpaceDN/>
        <w:bidi w:val="0"/>
        <w:adjustRightInd w:val="0"/>
        <w:snapToGrid w:val="0"/>
        <w:spacing w:before="541" w:beforeLines="150" w:after="439" w:afterLines="100" w:line="560" w:lineRule="exact"/>
        <w:ind w:leftChars="0"/>
        <w:jc w:val="center"/>
        <w:textAlignment w:val="auto"/>
        <w:outlineLvl w:val="1"/>
        <w:rPr>
          <w:rFonts w:hint="eastAsia" w:ascii="Times New Roman" w:hAnsi="Times New Roman" w:eastAsia="方正小标宋_GBK" w:cs="Times New Roman"/>
          <w:b/>
          <w:color w:val="auto"/>
          <w:kern w:val="2"/>
          <w:sz w:val="36"/>
          <w:szCs w:val="36"/>
          <w:highlight w:val="none"/>
          <w:u w:val="none"/>
          <w:lang w:val="en-US" w:eastAsia="zh-CN" w:bidi="ar-SA"/>
        </w:rPr>
      </w:pPr>
      <w:bookmarkStart w:id="144" w:name="_Toc2185"/>
      <w:bookmarkStart w:id="145" w:name="_Toc7533"/>
      <w:r>
        <w:rPr>
          <w:rFonts w:hint="eastAsia" w:ascii="Times New Roman" w:hAnsi="Times New Roman" w:eastAsia="方正小标宋_GBK" w:cs="Times New Roman"/>
          <w:b/>
          <w:color w:val="auto"/>
          <w:kern w:val="2"/>
          <w:sz w:val="36"/>
          <w:szCs w:val="36"/>
          <w:highlight w:val="none"/>
          <w:u w:val="none"/>
          <w:lang w:val="en-US" w:eastAsia="zh-CN" w:bidi="ar-SA"/>
        </w:rPr>
        <w:t>第六章聚焦蔬菜经济，打造</w:t>
      </w:r>
      <w:bookmarkEnd w:id="118"/>
      <w:bookmarkEnd w:id="144"/>
      <w:r>
        <w:rPr>
          <w:rFonts w:hint="eastAsia" w:ascii="Times New Roman" w:hAnsi="Times New Roman" w:eastAsia="方正小标宋_GBK" w:cs="Times New Roman"/>
          <w:b/>
          <w:color w:val="auto"/>
          <w:kern w:val="2"/>
          <w:sz w:val="36"/>
          <w:szCs w:val="36"/>
          <w:highlight w:val="none"/>
          <w:u w:val="none"/>
          <w:lang w:val="en-US" w:eastAsia="zh-CN" w:bidi="ar-SA"/>
        </w:rPr>
        <w:t>“中原菜都”</w:t>
      </w:r>
      <w:bookmarkEnd w:id="145"/>
    </w:p>
    <w:p w14:paraId="186FE0E3">
      <w:pPr>
        <w:pageBreakBefore w:val="0"/>
        <w:kinsoku/>
        <w:wordWrap/>
        <w:overflowPunct/>
        <w:topLinePunct w:val="0"/>
        <w:autoSpaceDE/>
        <w:bidi w:val="0"/>
        <w:adjustRightInd w:val="0"/>
        <w:snapToGrid w:val="0"/>
        <w:spacing w:line="560" w:lineRule="exact"/>
        <w:ind w:firstLine="640" w:firstLineChars="200"/>
        <w:textAlignment w:val="auto"/>
        <w:rPr>
          <w:rFonts w:hint="eastAsia" w:ascii="仿宋_GB2312" w:hAnsi="仿宋_GB2312" w:eastAsia="仿宋_GB2312" w:cs="仿宋_GB2312"/>
          <w:color w:val="auto"/>
          <w:kern w:val="2"/>
          <w:sz w:val="32"/>
          <w:szCs w:val="21"/>
          <w:u w:val="none"/>
          <w:lang w:val="en-US" w:eastAsia="zh-CN" w:bidi="ar-SA"/>
        </w:rPr>
      </w:pPr>
      <w:r>
        <w:rPr>
          <w:rFonts w:hint="eastAsia" w:ascii="仿宋_GB2312" w:hAnsi="仿宋_GB2312" w:eastAsia="仿宋_GB2312" w:cs="仿宋_GB2312"/>
          <w:color w:val="auto"/>
          <w:kern w:val="2"/>
          <w:sz w:val="32"/>
          <w:szCs w:val="21"/>
          <w:u w:val="none"/>
          <w:lang w:val="en-US" w:eastAsia="zh-CN" w:bidi="ar-SA"/>
        </w:rPr>
        <w:t>叫响“扶沟蔬菜”品牌，依托全国蔬菜十强县基础，加快“中原菜都”建设步伐，构建“种植-加工-冷链-品牌”全链条体系，争创国家级现代农业产业园。</w:t>
      </w:r>
    </w:p>
    <w:p w14:paraId="41F3FBCE">
      <w:pPr>
        <w:keepNext/>
        <w:keepLines/>
        <w:pageBreakBefore w:val="0"/>
        <w:widowControl w:val="0"/>
        <w:numPr>
          <w:ilvl w:val="0"/>
          <w:numId w:val="0"/>
        </w:numPr>
        <w:kinsoku/>
        <w:wordWrap/>
        <w:overflowPunct/>
        <w:topLinePunct w:val="0"/>
        <w:autoSpaceDE/>
        <w:autoSpaceDN/>
        <w:bidi w:val="0"/>
        <w:adjustRightInd w:val="0"/>
        <w:snapToGrid w:val="0"/>
        <w:spacing w:before="156" w:beforeLines="50" w:after="156" w:afterLines="50" w:line="560" w:lineRule="exact"/>
        <w:ind w:leftChars="0"/>
        <w:jc w:val="center"/>
        <w:textAlignment w:val="auto"/>
        <w:outlineLvl w:val="2"/>
        <w:rPr>
          <w:rFonts w:hint="eastAsia" w:ascii="Times New Roman" w:hAnsi="Times New Roman" w:eastAsia="黑体" w:cs="Times New Roman"/>
          <w:b/>
          <w:bCs/>
          <w:color w:val="auto"/>
          <w:kern w:val="2"/>
          <w:sz w:val="32"/>
          <w:szCs w:val="32"/>
          <w:highlight w:val="none"/>
          <w:u w:val="none"/>
          <w:lang w:val="en-US" w:eastAsia="zh-CN" w:bidi="ar-SA"/>
        </w:rPr>
      </w:pPr>
      <w:bookmarkStart w:id="146" w:name="_Toc27076"/>
      <w:bookmarkStart w:id="147" w:name="_Toc11357"/>
      <w:bookmarkStart w:id="148" w:name="_Toc2071"/>
      <w:r>
        <w:rPr>
          <w:rFonts w:hint="eastAsia" w:ascii="Times New Roman" w:hAnsi="Times New Roman" w:eastAsia="黑体" w:cs="Times New Roman"/>
          <w:b/>
          <w:bCs/>
          <w:color w:val="auto"/>
          <w:kern w:val="2"/>
          <w:sz w:val="32"/>
          <w:szCs w:val="32"/>
          <w:highlight w:val="none"/>
          <w:u w:val="none"/>
          <w:lang w:val="en-US" w:eastAsia="zh-CN" w:bidi="ar-SA"/>
        </w:rPr>
        <w:t>第一节</w:t>
      </w:r>
      <w:bookmarkEnd w:id="146"/>
      <w:bookmarkEnd w:id="147"/>
      <w:r>
        <w:rPr>
          <w:rFonts w:hint="eastAsia" w:ascii="Times New Roman" w:hAnsi="Times New Roman" w:eastAsia="黑体" w:cs="Times New Roman"/>
          <w:b/>
          <w:bCs/>
          <w:color w:val="auto"/>
          <w:kern w:val="2"/>
          <w:sz w:val="32"/>
          <w:szCs w:val="32"/>
          <w:highlight w:val="none"/>
          <w:u w:val="none"/>
          <w:lang w:val="en-US" w:eastAsia="zh-CN" w:bidi="ar-SA"/>
        </w:rPr>
        <w:t>推进“一园三带四区”新蔬菜产业发展布局</w:t>
      </w:r>
      <w:bookmarkEnd w:id="148"/>
    </w:p>
    <w:p w14:paraId="123928E8">
      <w:pPr>
        <w:pageBreakBefore w:val="0"/>
        <w:kinsoku/>
        <w:wordWrap/>
        <w:overflowPunct/>
        <w:topLinePunct w:val="0"/>
        <w:autoSpaceDE/>
        <w:bidi w:val="0"/>
        <w:adjustRightInd w:val="0"/>
        <w:snapToGrid w:val="0"/>
        <w:spacing w:line="560" w:lineRule="exact"/>
        <w:ind w:firstLine="640" w:firstLineChars="200"/>
        <w:textAlignment w:val="auto"/>
        <w:rPr>
          <w:rFonts w:hint="default" w:ascii="仿宋_GB2312" w:hAnsi="仿宋_GB2312" w:eastAsia="仿宋_GB2312" w:cs="仿宋_GB2312"/>
          <w:color w:val="auto"/>
          <w:kern w:val="2"/>
          <w:sz w:val="32"/>
          <w:szCs w:val="21"/>
          <w:u w:val="none"/>
          <w:lang w:val="en-US" w:eastAsia="zh-CN" w:bidi="ar-SA"/>
        </w:rPr>
      </w:pPr>
      <w:r>
        <w:rPr>
          <w:rFonts w:hint="default" w:ascii="仿宋_GB2312" w:hAnsi="仿宋_GB2312" w:eastAsia="仿宋_GB2312" w:cs="仿宋_GB2312"/>
          <w:color w:val="auto"/>
          <w:kern w:val="2"/>
          <w:sz w:val="32"/>
          <w:szCs w:val="21"/>
          <w:u w:val="none"/>
          <w:lang w:val="en-US" w:eastAsia="zh-CN" w:bidi="ar-SA"/>
        </w:rPr>
        <w:t>深入贯彻落实习近平总书记视察河南“延伸现代农业产业链条”的重要指示精神,结合“十四五”期间蔬菜产业取得的成就及对标全国先进地区，存在设施老旧、智能化不高、链条不完整、品牌影响力不足等问题。按照建设“全省一流、全国领先”的蔬菜强县的目标，以创建国家级现代农业产业园为抓手，形成国家、省、市、县“四级联动、梯次发展”的产业园体系，</w:t>
      </w:r>
      <w:r>
        <w:rPr>
          <w:rFonts w:hint="default" w:ascii="仿宋_GB2312" w:hAnsi="仿宋_GB2312" w:eastAsia="仿宋_GB2312" w:cs="仿宋_GB2312"/>
          <w:b/>
          <w:bCs/>
          <w:color w:val="auto"/>
          <w:kern w:val="2"/>
          <w:sz w:val="32"/>
          <w:szCs w:val="21"/>
          <w:u w:val="none"/>
          <w:lang w:val="en-US" w:eastAsia="zh-CN" w:bidi="ar-SA"/>
        </w:rPr>
        <w:t>推进“一园三带四区”新蔬菜产业发展布局。</w:t>
      </w:r>
      <w:r>
        <w:rPr>
          <w:rFonts w:hint="default" w:ascii="仿宋_GB2312" w:hAnsi="仿宋_GB2312" w:eastAsia="仿宋_GB2312" w:cs="仿宋_GB2312"/>
          <w:color w:val="auto"/>
          <w:kern w:val="2"/>
          <w:sz w:val="32"/>
          <w:szCs w:val="21"/>
          <w:u w:val="none"/>
          <w:lang w:val="en-US" w:eastAsia="zh-CN" w:bidi="ar-SA"/>
        </w:rPr>
        <w:t>目标到2030年，扶沟县蔬菜总播种面积达到60万亩，其中设施蔬菜播种面积25万亩，露地蔬菜播种面积35万亩。</w:t>
      </w:r>
    </w:p>
    <w:p w14:paraId="2CB5F479">
      <w:pPr>
        <w:pageBreakBefore w:val="0"/>
        <w:kinsoku/>
        <w:wordWrap/>
        <w:overflowPunct/>
        <w:topLinePunct w:val="0"/>
        <w:autoSpaceDE/>
        <w:bidi w:val="0"/>
        <w:adjustRightInd w:val="0"/>
        <w:snapToGrid w:val="0"/>
        <w:spacing w:line="560" w:lineRule="exact"/>
        <w:ind w:firstLine="643" w:firstLineChars="200"/>
        <w:textAlignment w:val="auto"/>
        <w:rPr>
          <w:rFonts w:hint="default" w:ascii="仿宋_GB2312" w:hAnsi="仿宋_GB2312" w:eastAsia="仿宋_GB2312" w:cs="仿宋_GB2312"/>
          <w:color w:val="auto"/>
          <w:kern w:val="2"/>
          <w:sz w:val="32"/>
          <w:szCs w:val="21"/>
          <w:u w:val="none"/>
          <w:lang w:val="en-US" w:eastAsia="zh-CN" w:bidi="ar-SA"/>
        </w:rPr>
      </w:pPr>
      <w:r>
        <w:rPr>
          <w:rFonts w:hint="eastAsia" w:ascii="楷体_GB2312" w:hAnsi="楷体_GB2312" w:eastAsia="楷体_GB2312" w:cs="楷体_GB2312"/>
          <w:b/>
          <w:bCs/>
          <w:color w:val="auto"/>
          <w:kern w:val="2"/>
          <w:sz w:val="32"/>
          <w:szCs w:val="32"/>
          <w:u w:val="none"/>
          <w:lang w:val="en-US" w:eastAsia="zh-CN" w:bidi="ar-SA"/>
        </w:rPr>
        <w:t>一</w:t>
      </w:r>
      <w:r>
        <w:rPr>
          <w:rFonts w:hint="default" w:ascii="楷体_GB2312" w:hAnsi="楷体_GB2312" w:eastAsia="楷体_GB2312" w:cs="楷体_GB2312"/>
          <w:b/>
          <w:bCs/>
          <w:color w:val="auto"/>
          <w:kern w:val="2"/>
          <w:sz w:val="32"/>
          <w:szCs w:val="32"/>
          <w:u w:val="none"/>
          <w:lang w:val="en-US" w:eastAsia="zh-CN" w:bidi="ar-SA"/>
        </w:rPr>
        <w:t>园：</w:t>
      </w:r>
    </w:p>
    <w:p w14:paraId="1FD2A826">
      <w:pPr>
        <w:pageBreakBefore w:val="0"/>
        <w:kinsoku/>
        <w:wordWrap/>
        <w:overflowPunct/>
        <w:topLinePunct w:val="0"/>
        <w:autoSpaceDE/>
        <w:bidi w:val="0"/>
        <w:adjustRightInd w:val="0"/>
        <w:snapToGrid w:val="0"/>
        <w:spacing w:line="560" w:lineRule="exact"/>
        <w:ind w:firstLine="643" w:firstLineChars="200"/>
        <w:textAlignment w:val="auto"/>
        <w:rPr>
          <w:rFonts w:hint="default" w:ascii="仿宋_GB2312" w:hAnsi="仿宋_GB2312" w:eastAsia="仿宋_GB2312" w:cs="仿宋_GB2312"/>
          <w:color w:val="auto"/>
          <w:kern w:val="2"/>
          <w:sz w:val="32"/>
          <w:szCs w:val="21"/>
          <w:u w:val="none"/>
          <w:lang w:val="en-US" w:eastAsia="zh-CN" w:bidi="ar-SA"/>
        </w:rPr>
      </w:pPr>
      <w:r>
        <w:rPr>
          <w:rFonts w:hint="default" w:ascii="仿宋_GB2312" w:hAnsi="仿宋_GB2312" w:eastAsia="仿宋_GB2312" w:cs="仿宋_GB2312"/>
          <w:b/>
          <w:bCs/>
          <w:color w:val="auto"/>
          <w:kern w:val="2"/>
          <w:sz w:val="32"/>
          <w:szCs w:val="21"/>
          <w:u w:val="none"/>
          <w:lang w:val="en-US" w:eastAsia="zh-CN" w:bidi="ar-SA"/>
        </w:rPr>
        <w:t>现代农业产业园：</w:t>
      </w:r>
      <w:r>
        <w:rPr>
          <w:rFonts w:hint="default" w:ascii="仿宋_GB2312" w:hAnsi="仿宋_GB2312" w:eastAsia="仿宋_GB2312" w:cs="仿宋_GB2312"/>
          <w:color w:val="auto"/>
          <w:kern w:val="2"/>
          <w:sz w:val="32"/>
          <w:szCs w:val="21"/>
          <w:u w:val="none"/>
          <w:lang w:val="en-US" w:eastAsia="zh-CN" w:bidi="ar-SA"/>
        </w:rPr>
        <w:t>以创建国家级现代农业产业园为抓手，构建县、乡、村三级产业园体系，落实国家农业农村部、国家发展改革委、财政部、自然资源部4部委《全国现代设施农业建设规划(2023—2030年)》和《河南省因地制宜发展设施种植业促进农民增收三年行动方案（2025—2027年）》，开展设施种植园区建设、老旧设施改造升级、设施集约化育苗中心建设和冷链物流建设，全力推进蔬菜产业转型升级、提质增效，构建蔬菜全产业链发展新格局，引进智能化温室、工厂化无土栽培、全自动育苗等农业新技术，推广节水灌溉、水肥一体化等技术，引领扶沟蔬菜向科技化、标准化、品牌化方向迈进</w:t>
      </w:r>
      <w:r>
        <w:rPr>
          <w:rFonts w:hint="eastAsia" w:ascii="仿宋_GB2312" w:hAnsi="仿宋_GB2312" w:eastAsia="仿宋_GB2312" w:cs="仿宋_GB2312"/>
          <w:color w:val="auto"/>
          <w:kern w:val="2"/>
          <w:sz w:val="32"/>
          <w:szCs w:val="21"/>
          <w:u w:val="none"/>
          <w:lang w:val="en-US" w:eastAsia="zh-CN" w:bidi="ar-SA"/>
        </w:rPr>
        <w:t>。</w:t>
      </w:r>
    </w:p>
    <w:p w14:paraId="48F224D8">
      <w:pPr>
        <w:pageBreakBefore w:val="0"/>
        <w:kinsoku/>
        <w:wordWrap/>
        <w:overflowPunct/>
        <w:topLinePunct w:val="0"/>
        <w:autoSpaceDE/>
        <w:bidi w:val="0"/>
        <w:adjustRightInd w:val="0"/>
        <w:snapToGrid w:val="0"/>
        <w:spacing w:line="560" w:lineRule="exact"/>
        <w:ind w:firstLine="643" w:firstLineChars="200"/>
        <w:textAlignment w:val="auto"/>
        <w:rPr>
          <w:rFonts w:hint="default" w:ascii="楷体_GB2312" w:hAnsi="楷体_GB2312" w:eastAsia="楷体_GB2312" w:cs="楷体_GB2312"/>
          <w:b/>
          <w:bCs/>
          <w:color w:val="auto"/>
          <w:kern w:val="2"/>
          <w:sz w:val="32"/>
          <w:szCs w:val="32"/>
          <w:u w:val="none"/>
          <w:lang w:val="en-US" w:eastAsia="zh-CN" w:bidi="ar-SA"/>
        </w:rPr>
      </w:pPr>
      <w:r>
        <w:rPr>
          <w:rFonts w:hint="default" w:ascii="楷体_GB2312" w:hAnsi="楷体_GB2312" w:eastAsia="楷体_GB2312" w:cs="楷体_GB2312"/>
          <w:b/>
          <w:bCs/>
          <w:color w:val="auto"/>
          <w:kern w:val="2"/>
          <w:sz w:val="32"/>
          <w:szCs w:val="32"/>
          <w:u w:val="none"/>
          <w:lang w:val="en-US" w:eastAsia="zh-CN" w:bidi="ar-SA"/>
        </w:rPr>
        <w:t>三</w:t>
      </w:r>
      <w:r>
        <w:rPr>
          <w:rFonts w:hint="eastAsia" w:ascii="楷体_GB2312" w:hAnsi="楷体_GB2312" w:eastAsia="楷体_GB2312" w:cs="楷体_GB2312"/>
          <w:b/>
          <w:bCs/>
          <w:color w:val="auto"/>
          <w:kern w:val="2"/>
          <w:sz w:val="32"/>
          <w:szCs w:val="32"/>
          <w:u w:val="none"/>
          <w:lang w:val="en-US" w:eastAsia="zh-CN" w:bidi="ar-SA"/>
        </w:rPr>
        <w:t>带</w:t>
      </w:r>
      <w:r>
        <w:rPr>
          <w:rFonts w:hint="default" w:ascii="楷体_GB2312" w:hAnsi="楷体_GB2312" w:eastAsia="楷体_GB2312" w:cs="楷体_GB2312"/>
          <w:b/>
          <w:bCs/>
          <w:color w:val="auto"/>
          <w:kern w:val="2"/>
          <w:sz w:val="32"/>
          <w:szCs w:val="32"/>
          <w:u w:val="none"/>
          <w:lang w:val="en-US" w:eastAsia="zh-CN" w:bidi="ar-SA"/>
        </w:rPr>
        <w:t>：</w:t>
      </w:r>
    </w:p>
    <w:p w14:paraId="33250CCA">
      <w:pPr>
        <w:pageBreakBefore w:val="0"/>
        <w:kinsoku/>
        <w:wordWrap/>
        <w:overflowPunct/>
        <w:topLinePunct w:val="0"/>
        <w:autoSpaceDE/>
        <w:bidi w:val="0"/>
        <w:adjustRightInd w:val="0"/>
        <w:snapToGrid w:val="0"/>
        <w:spacing w:line="560" w:lineRule="exact"/>
        <w:ind w:firstLine="643" w:firstLineChars="200"/>
        <w:textAlignment w:val="auto"/>
        <w:rPr>
          <w:rFonts w:hint="default" w:ascii="仿宋_GB2312" w:hAnsi="仿宋_GB2312" w:eastAsia="仿宋_GB2312" w:cs="仿宋_GB2312"/>
          <w:color w:val="auto"/>
          <w:kern w:val="2"/>
          <w:sz w:val="32"/>
          <w:szCs w:val="21"/>
          <w:u w:val="none"/>
          <w:lang w:val="en-US" w:eastAsia="zh-CN" w:bidi="ar-SA"/>
        </w:rPr>
      </w:pPr>
      <w:r>
        <w:rPr>
          <w:rFonts w:hint="default" w:ascii="仿宋_GB2312" w:hAnsi="仿宋_GB2312" w:eastAsia="仿宋_GB2312" w:cs="仿宋_GB2312"/>
          <w:b/>
          <w:bCs/>
          <w:color w:val="auto"/>
          <w:kern w:val="2"/>
          <w:sz w:val="32"/>
          <w:szCs w:val="21"/>
          <w:u w:val="none"/>
          <w:lang w:val="en-US" w:eastAsia="zh-CN" w:bidi="ar-SA"/>
        </w:rPr>
        <w:t>东北部露地瓜菜产业带：</w:t>
      </w:r>
      <w:r>
        <w:rPr>
          <w:rFonts w:hint="default" w:ascii="仿宋_GB2312" w:hAnsi="仿宋_GB2312" w:eastAsia="仿宋_GB2312" w:cs="仿宋_GB2312"/>
          <w:color w:val="auto"/>
          <w:kern w:val="2"/>
          <w:sz w:val="32"/>
          <w:szCs w:val="21"/>
          <w:u w:val="none"/>
          <w:lang w:val="en-US" w:eastAsia="zh-CN" w:bidi="ar-SA"/>
        </w:rPr>
        <w:t>以清水河、红旗渠为轴线，涵盖白潭镇、江村镇、崔桥镇、吕潭乡、大新镇等乡镇，重点发展早春西瓜、西兰花、辣椒种植，推广“小麦+辣椒”套种、“小麦+西瓜+辣椒”间作套种、“小麦-露地菜”套种轮作、“小麦-西兰花”轮作等模式，建设育苗中心、西兰花预冷加工中心、辣椒烘干生产线。</w:t>
      </w:r>
    </w:p>
    <w:p w14:paraId="7A99F5B2">
      <w:pPr>
        <w:pageBreakBefore w:val="0"/>
        <w:kinsoku/>
        <w:wordWrap/>
        <w:overflowPunct/>
        <w:topLinePunct w:val="0"/>
        <w:autoSpaceDE/>
        <w:bidi w:val="0"/>
        <w:adjustRightInd w:val="0"/>
        <w:snapToGrid w:val="0"/>
        <w:spacing w:line="560" w:lineRule="exact"/>
        <w:ind w:firstLine="643" w:firstLineChars="200"/>
        <w:textAlignment w:val="auto"/>
        <w:rPr>
          <w:rFonts w:hint="default" w:ascii="仿宋_GB2312" w:hAnsi="仿宋_GB2312" w:eastAsia="仿宋_GB2312" w:cs="仿宋_GB2312"/>
          <w:color w:val="auto"/>
          <w:kern w:val="2"/>
          <w:sz w:val="32"/>
          <w:szCs w:val="21"/>
          <w:u w:val="none"/>
          <w:lang w:val="en-US" w:eastAsia="zh-CN" w:bidi="ar-SA"/>
        </w:rPr>
      </w:pPr>
      <w:r>
        <w:rPr>
          <w:rFonts w:hint="default" w:ascii="仿宋_GB2312" w:hAnsi="仿宋_GB2312" w:eastAsia="仿宋_GB2312" w:cs="仿宋_GB2312"/>
          <w:b/>
          <w:bCs/>
          <w:color w:val="auto"/>
          <w:kern w:val="2"/>
          <w:sz w:val="32"/>
          <w:szCs w:val="21"/>
          <w:u w:val="none"/>
          <w:lang w:val="en-US" w:eastAsia="zh-CN" w:bidi="ar-SA"/>
        </w:rPr>
        <w:t>西南部温室蔬菜产业带：</w:t>
      </w:r>
      <w:r>
        <w:rPr>
          <w:rFonts w:hint="default" w:ascii="仿宋_GB2312" w:hAnsi="仿宋_GB2312" w:eastAsia="仿宋_GB2312" w:cs="仿宋_GB2312"/>
          <w:color w:val="auto"/>
          <w:kern w:val="2"/>
          <w:sz w:val="32"/>
          <w:szCs w:val="21"/>
          <w:u w:val="none"/>
          <w:lang w:val="en-US" w:eastAsia="zh-CN" w:bidi="ar-SA"/>
        </w:rPr>
        <w:t>以韭园镇、柴岗乡、固城乡、练寺镇、汴岗镇、帛亭街道办为核心，重点发展番茄、黄瓜、西甜瓜等日光温室蔬菜种植，新建智能温室、改造提升老旧设施，配套建设种苗研发中心、冷链集配中心。</w:t>
      </w:r>
    </w:p>
    <w:p w14:paraId="71C83890">
      <w:pPr>
        <w:pageBreakBefore w:val="0"/>
        <w:kinsoku/>
        <w:wordWrap/>
        <w:overflowPunct/>
        <w:topLinePunct w:val="0"/>
        <w:autoSpaceDE/>
        <w:bidi w:val="0"/>
        <w:adjustRightInd w:val="0"/>
        <w:snapToGrid w:val="0"/>
        <w:spacing w:line="560" w:lineRule="exact"/>
        <w:ind w:firstLine="643" w:firstLineChars="200"/>
        <w:textAlignment w:val="auto"/>
        <w:rPr>
          <w:rFonts w:hint="default" w:ascii="仿宋_GB2312" w:hAnsi="仿宋_GB2312" w:eastAsia="仿宋_GB2312" w:cs="仿宋_GB2312"/>
          <w:color w:val="auto"/>
          <w:kern w:val="2"/>
          <w:sz w:val="32"/>
          <w:szCs w:val="21"/>
          <w:u w:val="none"/>
          <w:lang w:val="en-US" w:eastAsia="zh-CN" w:bidi="ar-SA"/>
        </w:rPr>
      </w:pPr>
      <w:r>
        <w:rPr>
          <w:rFonts w:hint="default" w:ascii="仿宋_GB2312" w:hAnsi="仿宋_GB2312" w:eastAsia="仿宋_GB2312" w:cs="仿宋_GB2312"/>
          <w:b/>
          <w:bCs/>
          <w:color w:val="auto"/>
          <w:kern w:val="2"/>
          <w:sz w:val="32"/>
          <w:szCs w:val="21"/>
          <w:u w:val="none"/>
          <w:lang w:val="en-US" w:eastAsia="zh-CN" w:bidi="ar-SA"/>
        </w:rPr>
        <w:t>北部冷棚蔬菜产业带：</w:t>
      </w:r>
      <w:r>
        <w:rPr>
          <w:rFonts w:hint="default" w:ascii="仿宋_GB2312" w:hAnsi="仿宋_GB2312" w:eastAsia="仿宋_GB2312" w:cs="仿宋_GB2312"/>
          <w:color w:val="auto"/>
          <w:kern w:val="2"/>
          <w:sz w:val="32"/>
          <w:szCs w:val="21"/>
          <w:u w:val="none"/>
          <w:lang w:val="en-US" w:eastAsia="zh-CN" w:bidi="ar-SA"/>
        </w:rPr>
        <w:t>以曹里乡、包屯镇、大李庄</w:t>
      </w:r>
      <w:r>
        <w:rPr>
          <w:rFonts w:hint="eastAsia" w:ascii="仿宋_GB2312" w:hAnsi="仿宋_GB2312" w:eastAsia="仿宋_GB2312" w:cs="仿宋_GB2312"/>
          <w:color w:val="auto"/>
          <w:kern w:val="2"/>
          <w:sz w:val="32"/>
          <w:szCs w:val="21"/>
          <w:u w:val="none"/>
          <w:lang w:val="en-US" w:eastAsia="zh-CN" w:bidi="ar-SA"/>
        </w:rPr>
        <w:t>街道办</w:t>
      </w:r>
      <w:r>
        <w:rPr>
          <w:rFonts w:hint="default" w:ascii="仿宋_GB2312" w:hAnsi="仿宋_GB2312" w:eastAsia="仿宋_GB2312" w:cs="仿宋_GB2312"/>
          <w:color w:val="auto"/>
          <w:kern w:val="2"/>
          <w:sz w:val="32"/>
          <w:szCs w:val="21"/>
          <w:u w:val="none"/>
          <w:lang w:val="en-US" w:eastAsia="zh-CN" w:bidi="ar-SA"/>
        </w:rPr>
        <w:t>为核心，重点发展冷棚黄瓜、青茄种植，配套建设育苗中心、冷链集配中心。</w:t>
      </w:r>
    </w:p>
    <w:p w14:paraId="7AFE96AA">
      <w:pPr>
        <w:pageBreakBefore w:val="0"/>
        <w:kinsoku/>
        <w:wordWrap/>
        <w:overflowPunct/>
        <w:topLinePunct w:val="0"/>
        <w:autoSpaceDE/>
        <w:bidi w:val="0"/>
        <w:adjustRightInd w:val="0"/>
        <w:snapToGrid w:val="0"/>
        <w:spacing w:line="560" w:lineRule="exact"/>
        <w:ind w:firstLine="643" w:firstLineChars="200"/>
        <w:textAlignment w:val="auto"/>
        <w:rPr>
          <w:rFonts w:hint="default" w:ascii="仿宋_GB2312" w:hAnsi="仿宋_GB2312" w:eastAsia="仿宋_GB2312" w:cs="仿宋_GB2312"/>
          <w:color w:val="auto"/>
          <w:kern w:val="2"/>
          <w:sz w:val="32"/>
          <w:szCs w:val="21"/>
          <w:u w:val="none"/>
          <w:lang w:val="en-US" w:eastAsia="zh-CN" w:bidi="ar-SA"/>
        </w:rPr>
      </w:pPr>
      <w:r>
        <w:rPr>
          <w:rFonts w:hint="eastAsia" w:ascii="楷体_GB2312" w:hAnsi="楷体_GB2312" w:eastAsia="楷体_GB2312" w:cs="楷体_GB2312"/>
          <w:b/>
          <w:bCs/>
          <w:color w:val="auto"/>
          <w:kern w:val="2"/>
          <w:sz w:val="32"/>
          <w:szCs w:val="32"/>
          <w:u w:val="none"/>
          <w:lang w:val="en-US" w:eastAsia="zh-CN" w:bidi="ar-SA"/>
        </w:rPr>
        <w:t>四区</w:t>
      </w:r>
      <w:r>
        <w:rPr>
          <w:rFonts w:hint="default" w:ascii="楷体_GB2312" w:hAnsi="楷体_GB2312" w:eastAsia="楷体_GB2312" w:cs="楷体_GB2312"/>
          <w:b/>
          <w:bCs/>
          <w:color w:val="auto"/>
          <w:kern w:val="2"/>
          <w:sz w:val="32"/>
          <w:szCs w:val="32"/>
          <w:u w:val="none"/>
          <w:lang w:val="en-US" w:eastAsia="zh-CN" w:bidi="ar-SA"/>
        </w:rPr>
        <w:t>：</w:t>
      </w:r>
    </w:p>
    <w:p w14:paraId="3F1A18C5">
      <w:pPr>
        <w:pageBreakBefore w:val="0"/>
        <w:kinsoku/>
        <w:wordWrap/>
        <w:overflowPunct/>
        <w:topLinePunct w:val="0"/>
        <w:autoSpaceDE/>
        <w:bidi w:val="0"/>
        <w:adjustRightInd w:val="0"/>
        <w:snapToGrid w:val="0"/>
        <w:spacing w:line="560" w:lineRule="exact"/>
        <w:ind w:firstLine="643" w:firstLineChars="200"/>
        <w:textAlignment w:val="auto"/>
        <w:rPr>
          <w:rFonts w:hint="default" w:ascii="仿宋_GB2312" w:hAnsi="仿宋_GB2312" w:eastAsia="仿宋_GB2312" w:cs="仿宋_GB2312"/>
          <w:color w:val="auto"/>
          <w:kern w:val="2"/>
          <w:sz w:val="32"/>
          <w:szCs w:val="21"/>
          <w:u w:val="none"/>
          <w:lang w:val="en-US" w:eastAsia="zh-CN" w:bidi="ar-SA"/>
        </w:rPr>
      </w:pPr>
      <w:r>
        <w:rPr>
          <w:rFonts w:hint="default" w:ascii="仿宋_GB2312" w:hAnsi="仿宋_GB2312" w:eastAsia="仿宋_GB2312" w:cs="仿宋_GB2312"/>
          <w:b/>
          <w:bCs/>
          <w:color w:val="auto"/>
          <w:kern w:val="2"/>
          <w:sz w:val="32"/>
          <w:szCs w:val="21"/>
          <w:u w:val="none"/>
          <w:lang w:val="en-US" w:eastAsia="zh-CN" w:bidi="ar-SA"/>
        </w:rPr>
        <w:t>种子种苗研发区：</w:t>
      </w:r>
      <w:r>
        <w:rPr>
          <w:rFonts w:hint="default" w:ascii="仿宋_GB2312" w:hAnsi="仿宋_GB2312" w:eastAsia="仿宋_GB2312" w:cs="仿宋_GB2312"/>
          <w:color w:val="auto"/>
          <w:kern w:val="2"/>
          <w:sz w:val="32"/>
          <w:szCs w:val="21"/>
          <w:u w:val="none"/>
          <w:lang w:val="en-US" w:eastAsia="zh-CN" w:bidi="ar-SA"/>
        </w:rPr>
        <w:t>深化与高校科研院所合作，联合培育开发特色蔬菜新品种。与河南农业大学校地合作，依托河南农大扶沟蔬菜研究院，开展西瓜、番茄、辣椒、甘蓝、白菜等蔬菜名优品种研发；与河南农科院联合，在河南绿久科技园建立韭菜种子试验站，开展韭菜品种研发；与中科院合肥物质研究院合作，在大有兴业（扶沟）现代农业产业园建立院士专家工作站，开展番茄、彩椒等新品种研发；在东北部产业带建设西瓜、西兰花、辣椒繁育为主的育苗工厂，在西南部产业带建设西甜瓜、番茄、黄瓜、辣椒繁育为主的育苗工厂，在北部产业带建设以黄瓜、青茄繁育为主的育苗工厂，全县年育苗10亿株以上，最终实现种苗自给并供应全省。</w:t>
      </w:r>
    </w:p>
    <w:p w14:paraId="57916B21">
      <w:pPr>
        <w:pageBreakBefore w:val="0"/>
        <w:kinsoku/>
        <w:wordWrap/>
        <w:overflowPunct/>
        <w:topLinePunct w:val="0"/>
        <w:autoSpaceDE/>
        <w:bidi w:val="0"/>
        <w:adjustRightInd w:val="0"/>
        <w:snapToGrid w:val="0"/>
        <w:spacing w:line="560" w:lineRule="exact"/>
        <w:ind w:firstLine="643" w:firstLineChars="200"/>
        <w:textAlignment w:val="auto"/>
        <w:rPr>
          <w:rFonts w:hint="default" w:ascii="仿宋_GB2312" w:hAnsi="仿宋_GB2312" w:eastAsia="仿宋_GB2312" w:cs="仿宋_GB2312"/>
          <w:color w:val="auto"/>
          <w:kern w:val="2"/>
          <w:sz w:val="32"/>
          <w:szCs w:val="21"/>
          <w:u w:val="none"/>
          <w:lang w:val="en-US" w:eastAsia="zh-CN" w:bidi="ar-SA"/>
        </w:rPr>
      </w:pPr>
      <w:r>
        <w:rPr>
          <w:rFonts w:hint="default" w:ascii="仿宋_GB2312" w:hAnsi="仿宋_GB2312" w:eastAsia="仿宋_GB2312" w:cs="仿宋_GB2312"/>
          <w:b/>
          <w:bCs/>
          <w:color w:val="auto"/>
          <w:kern w:val="2"/>
          <w:sz w:val="32"/>
          <w:szCs w:val="21"/>
          <w:u w:val="none"/>
          <w:lang w:val="en-US" w:eastAsia="zh-CN" w:bidi="ar-SA"/>
        </w:rPr>
        <w:t>融合发展示范区：</w:t>
      </w:r>
      <w:r>
        <w:rPr>
          <w:rFonts w:hint="default" w:ascii="仿宋_GB2312" w:hAnsi="仿宋_GB2312" w:eastAsia="仿宋_GB2312" w:cs="仿宋_GB2312"/>
          <w:color w:val="auto"/>
          <w:kern w:val="2"/>
          <w:sz w:val="32"/>
          <w:szCs w:val="21"/>
          <w:u w:val="none"/>
          <w:lang w:val="en-US" w:eastAsia="zh-CN" w:bidi="ar-SA"/>
        </w:rPr>
        <w:t>深入挖掘“红古绿”文化旅游资源，以万亩孟亭水库观光经济带为核心，以现代农业产业园核心区蔬菜路、站前路为纽带，依托安冠智慧农业产业园、豫煌番茄产业园、古耕现代农业产业园等园区，打造以蔬菜产品展示、科研教学、科普教育、采摘体验为主导的精品观光研学路线，实现农文旅产业融合发展。</w:t>
      </w:r>
    </w:p>
    <w:p w14:paraId="6D4500D2">
      <w:pPr>
        <w:pageBreakBefore w:val="0"/>
        <w:kinsoku/>
        <w:wordWrap/>
        <w:overflowPunct/>
        <w:topLinePunct w:val="0"/>
        <w:autoSpaceDE/>
        <w:bidi w:val="0"/>
        <w:adjustRightInd w:val="0"/>
        <w:snapToGrid w:val="0"/>
        <w:spacing w:line="560" w:lineRule="exact"/>
        <w:ind w:firstLine="643" w:firstLineChars="200"/>
        <w:textAlignment w:val="auto"/>
        <w:rPr>
          <w:rFonts w:hint="default" w:ascii="仿宋_GB2312" w:hAnsi="仿宋_GB2312" w:eastAsia="仿宋_GB2312" w:cs="仿宋_GB2312"/>
          <w:color w:val="auto"/>
          <w:kern w:val="2"/>
          <w:sz w:val="32"/>
          <w:szCs w:val="21"/>
          <w:u w:val="none"/>
          <w:lang w:val="en-US" w:eastAsia="zh-CN" w:bidi="ar-SA"/>
        </w:rPr>
      </w:pPr>
      <w:r>
        <w:rPr>
          <w:rFonts w:hint="default" w:ascii="仿宋_GB2312" w:hAnsi="仿宋_GB2312" w:eastAsia="仿宋_GB2312" w:cs="仿宋_GB2312"/>
          <w:b/>
          <w:bCs/>
          <w:color w:val="auto"/>
          <w:kern w:val="2"/>
          <w:sz w:val="32"/>
          <w:szCs w:val="21"/>
          <w:u w:val="none"/>
          <w:lang w:val="en-US" w:eastAsia="zh-CN" w:bidi="ar-SA"/>
        </w:rPr>
        <w:t>市场冷链配送区：</w:t>
      </w:r>
      <w:r>
        <w:rPr>
          <w:rFonts w:hint="default" w:ascii="仿宋_GB2312" w:hAnsi="仿宋_GB2312" w:eastAsia="仿宋_GB2312" w:cs="仿宋_GB2312"/>
          <w:color w:val="auto"/>
          <w:kern w:val="2"/>
          <w:sz w:val="32"/>
          <w:szCs w:val="21"/>
          <w:u w:val="none"/>
          <w:lang w:val="en-US" w:eastAsia="zh-CN" w:bidi="ar-SA"/>
        </w:rPr>
        <w:t>通过加快实施国家级农产品产地冷藏保鲜整县推进项目，以京东物流（扶沟）智慧物流港为中心，辐射带动三个产业带依托蔬菜种植基地建设蔬菜产地批发市场，配套进行预冷加工中心、冷藏库房、物流集配中心建设，带动提升冷链物流规模化、组织化、网络化运行。实现蔬菜种植基地“冷链物流仓储中心+种植基地+产地市场+冷藏库房”多元综合配套的冷链物流配送体系，形成产品营销立足扶沟，服务全省、面向全国。</w:t>
      </w:r>
    </w:p>
    <w:p w14:paraId="2A60C1FC">
      <w:pPr>
        <w:pageBreakBefore w:val="0"/>
        <w:kinsoku/>
        <w:wordWrap/>
        <w:overflowPunct/>
        <w:topLinePunct w:val="0"/>
        <w:autoSpaceDE/>
        <w:bidi w:val="0"/>
        <w:adjustRightInd w:val="0"/>
        <w:snapToGrid w:val="0"/>
        <w:spacing w:line="560" w:lineRule="exact"/>
        <w:ind w:firstLine="643" w:firstLineChars="200"/>
        <w:textAlignment w:val="auto"/>
        <w:rPr>
          <w:rFonts w:hint="default" w:ascii="仿宋_GB2312" w:hAnsi="仿宋_GB2312" w:eastAsia="仿宋_GB2312" w:cs="仿宋_GB2312"/>
          <w:color w:val="auto"/>
          <w:kern w:val="2"/>
          <w:sz w:val="32"/>
          <w:szCs w:val="21"/>
          <w:u w:val="none"/>
          <w:lang w:val="en-US" w:eastAsia="zh-CN" w:bidi="ar-SA"/>
        </w:rPr>
      </w:pPr>
      <w:r>
        <w:rPr>
          <w:rFonts w:hint="default" w:ascii="仿宋_GB2312" w:hAnsi="仿宋_GB2312" w:eastAsia="仿宋_GB2312" w:cs="仿宋_GB2312"/>
          <w:b/>
          <w:bCs/>
          <w:color w:val="auto"/>
          <w:kern w:val="2"/>
          <w:sz w:val="32"/>
          <w:szCs w:val="21"/>
          <w:u w:val="none"/>
          <w:lang w:val="en-US" w:eastAsia="zh-CN" w:bidi="ar-SA"/>
        </w:rPr>
        <w:t>精深加工区：</w:t>
      </w:r>
      <w:r>
        <w:rPr>
          <w:rFonts w:hint="default" w:ascii="仿宋_GB2312" w:hAnsi="仿宋_GB2312" w:eastAsia="仿宋_GB2312" w:cs="仿宋_GB2312"/>
          <w:color w:val="auto"/>
          <w:kern w:val="2"/>
          <w:sz w:val="32"/>
          <w:szCs w:val="21"/>
          <w:u w:val="none"/>
          <w:lang w:val="en-US" w:eastAsia="zh-CN" w:bidi="ar-SA"/>
        </w:rPr>
        <w:t>以扶沟县蔬菜深加工产业园为核心，依托中食产业园、遍地红辣椒专业合作社，支持企业蔬菜主产区建设预制菜生产基地，开发脱水蔬菜、冷链食品、休闲食品、功能食品等深加工产品和预制菜生产，引导农民专业合作社和家庭农场发展分等分级、清洗分拣、烘干包装、冷链仓储等产地初加工，促进农产品就地就近商品化利用。</w:t>
      </w:r>
    </w:p>
    <w:p w14:paraId="25A7A5C9">
      <w:pPr>
        <w:keepNext/>
        <w:keepLines/>
        <w:pageBreakBefore w:val="0"/>
        <w:widowControl w:val="0"/>
        <w:numPr>
          <w:ilvl w:val="0"/>
          <w:numId w:val="0"/>
        </w:numPr>
        <w:kinsoku/>
        <w:wordWrap/>
        <w:overflowPunct/>
        <w:topLinePunct w:val="0"/>
        <w:autoSpaceDE/>
        <w:autoSpaceDN/>
        <w:bidi w:val="0"/>
        <w:adjustRightInd w:val="0"/>
        <w:snapToGrid w:val="0"/>
        <w:spacing w:before="156" w:beforeLines="50" w:after="156" w:afterLines="50" w:line="560" w:lineRule="exact"/>
        <w:ind w:leftChars="0"/>
        <w:jc w:val="center"/>
        <w:textAlignment w:val="auto"/>
        <w:outlineLvl w:val="2"/>
        <w:rPr>
          <w:rFonts w:hint="eastAsia" w:ascii="Times New Roman" w:hAnsi="Times New Roman" w:eastAsia="黑体" w:cs="Times New Roman"/>
          <w:b/>
          <w:bCs/>
          <w:color w:val="auto"/>
          <w:kern w:val="2"/>
          <w:sz w:val="32"/>
          <w:szCs w:val="32"/>
          <w:highlight w:val="none"/>
          <w:u w:val="none"/>
          <w:lang w:val="en-US" w:eastAsia="zh-CN" w:bidi="ar-SA"/>
        </w:rPr>
      </w:pPr>
      <w:bookmarkStart w:id="149" w:name="_Toc22318"/>
      <w:bookmarkStart w:id="150" w:name="_Toc28982"/>
      <w:bookmarkStart w:id="151" w:name="_Toc1802"/>
      <w:r>
        <w:rPr>
          <w:rFonts w:hint="eastAsia" w:ascii="Times New Roman" w:hAnsi="Times New Roman" w:eastAsia="黑体" w:cs="Times New Roman"/>
          <w:b/>
          <w:bCs/>
          <w:color w:val="auto"/>
          <w:kern w:val="2"/>
          <w:sz w:val="32"/>
          <w:szCs w:val="32"/>
          <w:highlight w:val="none"/>
          <w:u w:val="none"/>
          <w:lang w:val="en-US" w:eastAsia="zh-CN" w:bidi="ar-SA"/>
        </w:rPr>
        <w:t>第二节</w:t>
      </w:r>
      <w:bookmarkEnd w:id="149"/>
      <w:bookmarkEnd w:id="150"/>
      <w:r>
        <w:rPr>
          <w:rFonts w:hint="eastAsia" w:ascii="Times New Roman" w:hAnsi="Times New Roman" w:eastAsia="黑体" w:cs="Times New Roman"/>
          <w:b/>
          <w:bCs/>
          <w:color w:val="auto"/>
          <w:kern w:val="2"/>
          <w:sz w:val="32"/>
          <w:szCs w:val="32"/>
          <w:highlight w:val="none"/>
          <w:u w:val="none"/>
          <w:lang w:val="en-US" w:eastAsia="zh-CN" w:bidi="ar-SA"/>
        </w:rPr>
        <w:t>构建现代化蔬菜产业体系，实施质量兴农“七大提升行动”</w:t>
      </w:r>
      <w:bookmarkEnd w:id="151"/>
    </w:p>
    <w:p w14:paraId="502DC2BD">
      <w:pPr>
        <w:pageBreakBefore w:val="0"/>
        <w:widowControl w:val="0"/>
        <w:kinsoku/>
        <w:wordWrap/>
        <w:overflowPunct/>
        <w:topLinePunct w:val="0"/>
        <w:autoSpaceDE/>
        <w:autoSpaceDN/>
        <w:bidi w:val="0"/>
        <w:adjustRightInd w:val="0"/>
        <w:snapToGrid w:val="0"/>
        <w:spacing w:line="600" w:lineRule="exact"/>
        <w:ind w:firstLine="640" w:firstLineChars="200"/>
        <w:textAlignment w:val="auto"/>
        <w:outlineLvl w:val="9"/>
        <w:rPr>
          <w:rFonts w:hint="default" w:ascii="仿宋_GB2312" w:hAnsi="仿宋_GB2312" w:eastAsia="仿宋_GB2312" w:cs="仿宋_GB2312"/>
          <w:color w:val="auto"/>
          <w:kern w:val="2"/>
          <w:sz w:val="32"/>
          <w:szCs w:val="21"/>
          <w:u w:val="none"/>
          <w:lang w:val="en-US" w:eastAsia="zh-CN" w:bidi="ar-SA"/>
        </w:rPr>
      </w:pPr>
      <w:r>
        <w:rPr>
          <w:rFonts w:hint="default" w:ascii="仿宋_GB2312" w:hAnsi="仿宋_GB2312" w:eastAsia="仿宋_GB2312" w:cs="仿宋_GB2312"/>
          <w:color w:val="auto"/>
          <w:kern w:val="2"/>
          <w:sz w:val="32"/>
          <w:szCs w:val="21"/>
          <w:u w:val="none"/>
          <w:lang w:val="en-US" w:eastAsia="zh-CN" w:bidi="ar-SA"/>
        </w:rPr>
        <w:t>立足“农业强县”战略，以提升</w:t>
      </w:r>
      <w:r>
        <w:rPr>
          <w:rFonts w:hint="eastAsia" w:ascii="仿宋_GB2312" w:hAnsi="仿宋_GB2312" w:eastAsia="仿宋_GB2312" w:cs="仿宋_GB2312"/>
          <w:color w:val="auto"/>
          <w:kern w:val="2"/>
          <w:sz w:val="32"/>
          <w:szCs w:val="21"/>
          <w:u w:val="none"/>
          <w:lang w:val="en-US" w:eastAsia="zh-CN" w:bidi="ar-SA"/>
        </w:rPr>
        <w:t>蔬菜产业</w:t>
      </w:r>
      <w:r>
        <w:rPr>
          <w:rFonts w:hint="default" w:ascii="仿宋_GB2312" w:hAnsi="仿宋_GB2312" w:eastAsia="仿宋_GB2312" w:cs="仿宋_GB2312"/>
          <w:color w:val="auto"/>
          <w:kern w:val="2"/>
          <w:sz w:val="32"/>
          <w:szCs w:val="21"/>
          <w:u w:val="none"/>
          <w:lang w:val="en-US" w:eastAsia="zh-CN" w:bidi="ar-SA"/>
        </w:rPr>
        <w:t>质量效益为核心，以标准化生产为基础，以科技创新为驱动，以品牌培育为引领，以全链条管控为保障，全面实施“七大提升行动”</w:t>
      </w:r>
      <w:r>
        <w:rPr>
          <w:rFonts w:hint="eastAsia" w:ascii="仿宋_GB2312" w:hAnsi="仿宋_GB2312" w:eastAsia="仿宋_GB2312" w:cs="仿宋_GB2312"/>
          <w:color w:val="auto"/>
          <w:kern w:val="2"/>
          <w:sz w:val="32"/>
          <w:szCs w:val="21"/>
          <w:u w:val="none"/>
          <w:lang w:val="en-US" w:eastAsia="zh-CN" w:bidi="ar-SA"/>
        </w:rPr>
        <w:t>，</w:t>
      </w:r>
      <w:r>
        <w:rPr>
          <w:rFonts w:hint="default" w:ascii="仿宋_GB2312" w:hAnsi="仿宋_GB2312" w:eastAsia="仿宋_GB2312" w:cs="仿宋_GB2312"/>
          <w:color w:val="auto"/>
          <w:kern w:val="2"/>
          <w:sz w:val="32"/>
          <w:szCs w:val="21"/>
          <w:u w:val="none"/>
          <w:lang w:val="en-US" w:eastAsia="zh-CN" w:bidi="ar-SA"/>
        </w:rPr>
        <w:t>构建“种质优、标准严、品牌响、监管强”的质量兴农体系，推动</w:t>
      </w:r>
      <w:r>
        <w:rPr>
          <w:rFonts w:hint="eastAsia" w:ascii="仿宋_GB2312" w:hAnsi="仿宋_GB2312" w:eastAsia="仿宋_GB2312" w:cs="仿宋_GB2312"/>
          <w:color w:val="auto"/>
          <w:kern w:val="2"/>
          <w:sz w:val="32"/>
          <w:szCs w:val="21"/>
          <w:u w:val="none"/>
          <w:lang w:val="en-US" w:eastAsia="zh-CN" w:bidi="ar-SA"/>
        </w:rPr>
        <w:t>蔬菜产业</w:t>
      </w:r>
      <w:r>
        <w:rPr>
          <w:rFonts w:hint="default" w:ascii="仿宋_GB2312" w:hAnsi="仿宋_GB2312" w:eastAsia="仿宋_GB2312" w:cs="仿宋_GB2312"/>
          <w:color w:val="auto"/>
          <w:kern w:val="2"/>
          <w:sz w:val="32"/>
          <w:szCs w:val="21"/>
          <w:u w:val="none"/>
          <w:lang w:val="en-US" w:eastAsia="zh-CN" w:bidi="ar-SA"/>
        </w:rPr>
        <w:t>从“产量优势”向“质量优势”“效益优势”转型，系统勾勒扶沟蔬菜产业高质量发展的坚实根基与宏伟蓝图</w:t>
      </w:r>
      <w:r>
        <w:rPr>
          <w:rFonts w:hint="eastAsia" w:ascii="仿宋_GB2312" w:hAnsi="仿宋_GB2312" w:eastAsia="仿宋_GB2312" w:cs="仿宋_GB2312"/>
          <w:color w:val="auto"/>
          <w:kern w:val="2"/>
          <w:sz w:val="32"/>
          <w:szCs w:val="21"/>
          <w:u w:val="none"/>
          <w:lang w:val="en-US" w:eastAsia="zh-CN" w:bidi="ar-SA"/>
        </w:rPr>
        <w:t>。</w:t>
      </w:r>
    </w:p>
    <w:p w14:paraId="21757665">
      <w:pPr>
        <w:keepNext w:val="0"/>
        <w:keepLines w:val="0"/>
        <w:pageBreakBefore w:val="0"/>
        <w:widowControl w:val="0"/>
        <w:numPr>
          <w:ilvl w:val="0"/>
          <w:numId w:val="0"/>
        </w:numPr>
        <w:kinsoku/>
        <w:wordWrap/>
        <w:overflowPunct/>
        <w:topLinePunct w:val="0"/>
        <w:autoSpaceDE/>
        <w:autoSpaceDN/>
        <w:bidi w:val="0"/>
        <w:adjustRightInd/>
        <w:snapToGrid w:val="0"/>
        <w:spacing w:line="579" w:lineRule="exact"/>
        <w:ind w:firstLine="643" w:firstLineChars="200"/>
        <w:textAlignment w:val="auto"/>
        <w:rPr>
          <w:rFonts w:hint="default" w:ascii="仿宋_GB2312" w:hAnsi="仿宋_GB2312" w:eastAsia="仿宋_GB2312" w:cs="仿宋_GB2312"/>
          <w:color w:val="auto"/>
          <w:kern w:val="2"/>
          <w:sz w:val="32"/>
          <w:szCs w:val="21"/>
          <w:u w:val="none"/>
          <w:lang w:val="en-US" w:eastAsia="zh-CN" w:bidi="ar-SA"/>
        </w:rPr>
      </w:pPr>
      <w:r>
        <w:rPr>
          <w:rFonts w:hint="default" w:ascii="楷体_GB2312" w:hAnsi="楷体_GB2312" w:eastAsia="楷体_GB2312" w:cs="楷体_GB2312"/>
          <w:b/>
          <w:bCs/>
          <w:color w:val="auto"/>
          <w:kern w:val="2"/>
          <w:sz w:val="32"/>
          <w:szCs w:val="32"/>
          <w:u w:val="none"/>
          <w:lang w:val="en-US" w:eastAsia="zh-CN" w:bidi="ar-SA"/>
        </w:rPr>
        <w:t>种苗创新提升行动</w:t>
      </w:r>
      <w:r>
        <w:rPr>
          <w:rFonts w:hint="eastAsia" w:ascii="楷体_GB2312" w:hAnsi="楷体_GB2312" w:eastAsia="楷体_GB2312" w:cs="楷体_GB2312"/>
          <w:b/>
          <w:bCs/>
          <w:color w:val="auto"/>
          <w:kern w:val="2"/>
          <w:sz w:val="32"/>
          <w:szCs w:val="32"/>
          <w:u w:val="none"/>
          <w:lang w:val="en-US" w:eastAsia="zh-CN" w:bidi="ar-SA"/>
        </w:rPr>
        <w:t>。</w:t>
      </w:r>
      <w:r>
        <w:rPr>
          <w:rFonts w:hint="eastAsia" w:ascii="仿宋_GB2312" w:hAnsi="仿宋_GB2312" w:eastAsia="仿宋_GB2312" w:cs="仿宋_GB2312"/>
          <w:color w:val="auto"/>
          <w:kern w:val="2"/>
          <w:sz w:val="32"/>
          <w:szCs w:val="32"/>
          <w:lang w:val="en-US" w:eastAsia="zh-CN" w:bidi="ar-SA"/>
        </w:rPr>
        <w:t>通</w:t>
      </w:r>
      <w:r>
        <w:rPr>
          <w:rFonts w:hint="eastAsia" w:ascii="仿宋_GB2312" w:hAnsi="仿宋_GB2312" w:eastAsia="仿宋_GB2312" w:cs="仿宋_GB2312"/>
          <w:color w:val="auto"/>
          <w:kern w:val="2"/>
          <w:sz w:val="32"/>
          <w:szCs w:val="21"/>
          <w:u w:val="none"/>
          <w:lang w:val="en-US" w:eastAsia="zh-CN" w:bidi="ar-SA"/>
        </w:rPr>
        <w:t>过校地联合、院企联合，开展省域蔬菜种质资源挖掘保护、种子研发、培育推广工作，培育具有扶沟特色的蔬菜新品种，与河南农业大学合作，依托扶沟蔬菜研究院开展多元杂交组合育种，与河南省农科院合作，依托绿久农业科技园开展韭菜太空育种，与中科院合肥物质研究院合作，依托大有现代农业产业园开展分子育种，与国家大宗蔬菜产业技术体系专家合作，开展西兰花育种，培育本土荆芥品种；依托现有育苗企业，以果菜和叶菜为重点，建设1个年产1亿株以上的蔬菜大型集约化育苗中心，建设2个年产5000万株以上的区域集约化育苗中心和10个年产1000万株以上的产地育苗工厂。到2030年，年培育创新品种达到10个，年育苗达到10亿株</w:t>
      </w:r>
      <w:r>
        <w:rPr>
          <w:rFonts w:hint="eastAsia" w:ascii="仿宋_GB2312" w:hAnsi="仿宋_GB2312" w:eastAsia="仿宋_GB2312" w:cs="仿宋_GB2312"/>
          <w:color w:val="auto"/>
          <w:kern w:val="2"/>
          <w:sz w:val="32"/>
          <w:szCs w:val="32"/>
          <w:lang w:val="en-US" w:eastAsia="zh-CN" w:bidi="ar-SA"/>
        </w:rPr>
        <w:t>。</w:t>
      </w:r>
    </w:p>
    <w:p w14:paraId="6C94D027">
      <w:pPr>
        <w:pageBreakBefore w:val="0"/>
        <w:widowControl w:val="0"/>
        <w:kinsoku/>
        <w:wordWrap/>
        <w:overflowPunct/>
        <w:topLinePunct w:val="0"/>
        <w:autoSpaceDE/>
        <w:autoSpaceDN/>
        <w:bidi w:val="0"/>
        <w:adjustRightInd w:val="0"/>
        <w:snapToGrid w:val="0"/>
        <w:spacing w:line="600" w:lineRule="exact"/>
        <w:ind w:firstLine="643" w:firstLineChars="200"/>
        <w:textAlignment w:val="auto"/>
        <w:outlineLvl w:val="9"/>
        <w:rPr>
          <w:rFonts w:hint="eastAsia" w:ascii="仿宋_GB2312" w:hAnsi="仿宋_GB2312" w:eastAsia="仿宋_GB2312" w:cs="仿宋_GB2312"/>
          <w:color w:val="auto"/>
          <w:kern w:val="2"/>
          <w:sz w:val="32"/>
          <w:szCs w:val="21"/>
          <w:u w:val="none"/>
          <w:lang w:val="en-US" w:eastAsia="zh-CN" w:bidi="ar-SA"/>
        </w:rPr>
      </w:pPr>
      <w:r>
        <w:rPr>
          <w:rFonts w:hint="default" w:ascii="楷体_GB2312" w:hAnsi="楷体_GB2312" w:eastAsia="楷体_GB2312" w:cs="楷体_GB2312"/>
          <w:b/>
          <w:bCs/>
          <w:color w:val="auto"/>
          <w:kern w:val="2"/>
          <w:sz w:val="32"/>
          <w:szCs w:val="32"/>
          <w:u w:val="none"/>
          <w:lang w:val="en-US" w:eastAsia="zh-CN" w:bidi="ar-SA"/>
        </w:rPr>
        <w:t>规模种植提升行动</w:t>
      </w:r>
      <w:r>
        <w:rPr>
          <w:rFonts w:hint="eastAsia" w:ascii="楷体_GB2312" w:hAnsi="楷体_GB2312" w:eastAsia="楷体_GB2312" w:cs="楷体_GB2312"/>
          <w:b/>
          <w:bCs/>
          <w:color w:val="auto"/>
          <w:kern w:val="2"/>
          <w:sz w:val="32"/>
          <w:szCs w:val="32"/>
          <w:u w:val="none"/>
          <w:lang w:val="en-US" w:eastAsia="zh-CN" w:bidi="ar-SA"/>
        </w:rPr>
        <w:t>。</w:t>
      </w:r>
      <w:r>
        <w:rPr>
          <w:rFonts w:hint="eastAsia" w:ascii="仿宋_GB2312" w:hAnsi="仿宋_GB2312" w:eastAsia="仿宋_GB2312" w:cs="仿宋_GB2312"/>
          <w:b w:val="0"/>
          <w:bCs w:val="0"/>
          <w:color w:val="auto"/>
          <w:kern w:val="2"/>
          <w:sz w:val="32"/>
          <w:szCs w:val="32"/>
          <w:u w:val="none"/>
          <w:lang w:val="en-US" w:eastAsia="zh-CN" w:bidi="ar-SA"/>
        </w:rPr>
        <w:t>按照国家农业农村部“优化设施农业、适度扩大种植规模、升级改造老旧设施”</w:t>
      </w:r>
      <w:r>
        <w:rPr>
          <w:rFonts w:hint="eastAsia" w:ascii="仿宋_GB2312" w:hAnsi="仿宋_GB2312" w:eastAsia="仿宋_GB2312" w:cs="仿宋_GB2312"/>
          <w:b w:val="0"/>
          <w:bCs w:val="0"/>
          <w:color w:val="auto"/>
          <w:kern w:val="2"/>
          <w:sz w:val="32"/>
          <w:szCs w:val="21"/>
          <w:u w:val="none"/>
          <w:lang w:val="en-US" w:eastAsia="zh-CN" w:bidi="ar-SA"/>
        </w:rPr>
        <w:t>和《河南省因地制宜发展设施种植业促进农民增收三年行动方案（2025—2027年）》要求，</w:t>
      </w:r>
      <w:r>
        <w:rPr>
          <w:rFonts w:hint="eastAsia" w:ascii="仿宋_GB2312" w:hAnsi="仿宋_GB2312" w:eastAsia="仿宋_GB2312" w:cs="仿宋_GB2312"/>
          <w:color w:val="auto"/>
          <w:kern w:val="2"/>
          <w:sz w:val="32"/>
          <w:szCs w:val="21"/>
          <w:u w:val="none"/>
          <w:lang w:val="en-US" w:eastAsia="zh-CN" w:bidi="ar-SA"/>
        </w:rPr>
        <w:t>建设10个产业特色明显的100亩现代设施种植标准园区，引导农户集中连片建设生产园区，形成组织化、规模化、标准化生产基地；积极实施设施改造提升项目，以日光温室和塑料大棚为重点，推动设施结构向大型化、节能化、宜机化转型，扩大生产作业空间，提升大棚利用效率和综合生产能力。</w:t>
      </w:r>
      <w:r>
        <w:rPr>
          <w:rFonts w:hint="default" w:ascii="仿宋_GB2312" w:hAnsi="仿宋_GB2312" w:eastAsia="仿宋_GB2312" w:cs="仿宋_GB2312"/>
          <w:color w:val="auto"/>
          <w:kern w:val="2"/>
          <w:sz w:val="32"/>
          <w:szCs w:val="21"/>
          <w:u w:val="none"/>
          <w:lang w:val="en-US" w:eastAsia="zh-CN" w:bidi="ar-SA"/>
        </w:rPr>
        <w:t>2030年蔬菜总种植面积达</w:t>
      </w:r>
      <w:r>
        <w:rPr>
          <w:rFonts w:hint="eastAsia" w:ascii="仿宋_GB2312" w:hAnsi="仿宋_GB2312" w:eastAsia="仿宋_GB2312" w:cs="仿宋_GB2312"/>
          <w:color w:val="auto"/>
          <w:kern w:val="2"/>
          <w:sz w:val="32"/>
          <w:szCs w:val="21"/>
          <w:u w:val="none"/>
          <w:lang w:val="en-US" w:eastAsia="zh-CN" w:bidi="ar-SA"/>
        </w:rPr>
        <w:t>60</w:t>
      </w:r>
      <w:r>
        <w:rPr>
          <w:rFonts w:hint="default" w:ascii="仿宋_GB2312" w:hAnsi="仿宋_GB2312" w:eastAsia="仿宋_GB2312" w:cs="仿宋_GB2312"/>
          <w:color w:val="auto"/>
          <w:kern w:val="2"/>
          <w:sz w:val="32"/>
          <w:szCs w:val="21"/>
          <w:u w:val="none"/>
          <w:lang w:val="en-US" w:eastAsia="zh-CN" w:bidi="ar-SA"/>
        </w:rPr>
        <w:t>万亩，设施蔬菜</w:t>
      </w:r>
      <w:r>
        <w:rPr>
          <w:rFonts w:hint="eastAsia" w:ascii="仿宋_GB2312" w:hAnsi="仿宋_GB2312" w:eastAsia="仿宋_GB2312" w:cs="仿宋_GB2312"/>
          <w:color w:val="auto"/>
          <w:kern w:val="2"/>
          <w:sz w:val="32"/>
          <w:szCs w:val="21"/>
          <w:u w:val="none"/>
          <w:lang w:val="en-US" w:eastAsia="zh-CN" w:bidi="ar-SA"/>
        </w:rPr>
        <w:t>种植面积25万亩</w:t>
      </w:r>
      <w:r>
        <w:rPr>
          <w:rFonts w:hint="default" w:ascii="仿宋_GB2312" w:hAnsi="仿宋_GB2312" w:eastAsia="仿宋_GB2312" w:cs="仿宋_GB2312"/>
          <w:color w:val="auto"/>
          <w:kern w:val="2"/>
          <w:sz w:val="32"/>
          <w:szCs w:val="21"/>
          <w:u w:val="none"/>
          <w:lang w:val="en-US" w:eastAsia="zh-CN" w:bidi="ar-SA"/>
        </w:rPr>
        <w:t>。</w:t>
      </w:r>
    </w:p>
    <w:p w14:paraId="5C44000A">
      <w:pPr>
        <w:pageBreakBefore w:val="0"/>
        <w:widowControl w:val="0"/>
        <w:kinsoku/>
        <w:wordWrap/>
        <w:overflowPunct/>
        <w:topLinePunct w:val="0"/>
        <w:autoSpaceDE/>
        <w:autoSpaceDN/>
        <w:bidi w:val="0"/>
        <w:adjustRightInd w:val="0"/>
        <w:snapToGrid w:val="0"/>
        <w:spacing w:line="600" w:lineRule="exact"/>
        <w:ind w:firstLine="643" w:firstLineChars="200"/>
        <w:textAlignment w:val="auto"/>
        <w:outlineLvl w:val="9"/>
        <w:rPr>
          <w:rFonts w:hint="default" w:ascii="仿宋_GB2312" w:hAnsi="仿宋_GB2312" w:eastAsia="仿宋_GB2312" w:cs="仿宋_GB2312"/>
          <w:color w:val="auto"/>
          <w:kern w:val="2"/>
          <w:sz w:val="32"/>
          <w:szCs w:val="21"/>
          <w:u w:val="none"/>
          <w:lang w:val="en-US" w:eastAsia="zh-CN" w:bidi="ar-SA"/>
        </w:rPr>
      </w:pPr>
      <w:r>
        <w:rPr>
          <w:rFonts w:hint="eastAsia" w:ascii="楷体_GB2312" w:hAnsi="楷体_GB2312" w:eastAsia="楷体_GB2312" w:cs="楷体_GB2312"/>
          <w:b/>
          <w:bCs/>
          <w:color w:val="auto"/>
          <w:kern w:val="2"/>
          <w:sz w:val="32"/>
          <w:szCs w:val="32"/>
          <w:u w:val="none"/>
          <w:lang w:val="en-US" w:eastAsia="zh-CN" w:bidi="ar-SA"/>
        </w:rPr>
        <w:t>标准化生产提升行动。</w:t>
      </w:r>
      <w:r>
        <w:rPr>
          <w:rFonts w:hint="eastAsia" w:ascii="仿宋_GB2312" w:hAnsi="仿宋_GB2312" w:eastAsia="仿宋_GB2312" w:cs="仿宋_GB2312"/>
          <w:color w:val="auto"/>
          <w:kern w:val="2"/>
          <w:sz w:val="32"/>
          <w:szCs w:val="21"/>
          <w:u w:val="none"/>
          <w:lang w:val="en-US" w:eastAsia="zh-CN" w:bidi="ar-SA"/>
        </w:rPr>
        <w:t>构建扶沟蔬菜全产业链标准体系，制定《扶沟县蔬菜标准园建设规范》和各类蔬菜《扶沟县蔬菜绿色生产技术规程》，加强技术指导，推广轻减化栽培、无土栽培、水肥一体化、绿色防控等技术，推广生物农药与有机肥，实现蔬菜绿色生产全覆盖；加强农业投入品管控，通过源头监管、生产实时监测、市场监管，深化农产品质量安全监管。</w:t>
      </w:r>
    </w:p>
    <w:p w14:paraId="3952EA53">
      <w:pPr>
        <w:pageBreakBefore w:val="0"/>
        <w:widowControl w:val="0"/>
        <w:kinsoku/>
        <w:wordWrap/>
        <w:overflowPunct/>
        <w:topLinePunct w:val="0"/>
        <w:autoSpaceDE/>
        <w:autoSpaceDN/>
        <w:bidi w:val="0"/>
        <w:adjustRightInd w:val="0"/>
        <w:snapToGrid w:val="0"/>
        <w:spacing w:line="600" w:lineRule="exact"/>
        <w:ind w:firstLine="643" w:firstLineChars="200"/>
        <w:textAlignment w:val="auto"/>
        <w:outlineLvl w:val="9"/>
        <w:rPr>
          <w:rFonts w:hint="eastAsia" w:ascii="仿宋_GB2312" w:hAnsi="仿宋_GB2312" w:eastAsia="仿宋_GB2312" w:cs="仿宋_GB2312"/>
          <w:snapToGrid w:val="0"/>
          <w:color w:val="auto"/>
          <w:kern w:val="0"/>
          <w:sz w:val="32"/>
          <w:szCs w:val="32"/>
          <w:lang w:val="en-US" w:eastAsia="zh-CN"/>
        </w:rPr>
      </w:pPr>
      <w:r>
        <w:rPr>
          <w:rFonts w:hint="eastAsia" w:ascii="楷体_GB2312" w:hAnsi="楷体_GB2312" w:eastAsia="楷体_GB2312" w:cs="楷体_GB2312"/>
          <w:b/>
          <w:bCs/>
          <w:color w:val="auto"/>
          <w:kern w:val="2"/>
          <w:sz w:val="32"/>
          <w:szCs w:val="32"/>
          <w:u w:val="none"/>
          <w:lang w:val="en-US" w:eastAsia="zh-CN" w:bidi="ar-SA"/>
        </w:rPr>
        <w:t>精深加工提升行动。</w:t>
      </w:r>
      <w:r>
        <w:rPr>
          <w:rFonts w:hint="eastAsia" w:ascii="仿宋_GB2312" w:hAnsi="仿宋_GB2312" w:eastAsia="仿宋_GB2312" w:cs="仿宋_GB2312"/>
          <w:snapToGrid w:val="0"/>
          <w:color w:val="auto"/>
          <w:kern w:val="0"/>
          <w:sz w:val="32"/>
          <w:szCs w:val="32"/>
          <w:lang w:val="en-US" w:eastAsia="zh-CN"/>
        </w:rPr>
        <w:t>依托扶沟县蔬菜精加工产业园，通过谋划新上、招商引进、合作开发等方式，强力推进农产品精深加工项目建设，</w:t>
      </w:r>
      <w:r>
        <w:rPr>
          <w:rFonts w:hint="eastAsia" w:ascii="仿宋_GB2312" w:hAnsi="仿宋_GB2312" w:eastAsia="仿宋_GB2312" w:cs="仿宋_GB2312"/>
          <w:color w:val="auto"/>
          <w:kern w:val="2"/>
          <w:sz w:val="32"/>
          <w:szCs w:val="21"/>
          <w:u w:val="none"/>
          <w:lang w:val="en-US" w:eastAsia="zh-CN" w:bidi="ar-SA"/>
        </w:rPr>
        <w:t>开发脱水蔬菜、预制菜、蔬菜汁、功能性蔬菜食品等产品</w:t>
      </w:r>
      <w:r>
        <w:rPr>
          <w:rFonts w:hint="eastAsia" w:ascii="仿宋_GB2312" w:hAnsi="仿宋_GB2312" w:eastAsia="仿宋_GB2312" w:cs="仿宋_GB2312"/>
          <w:snapToGrid w:val="0"/>
          <w:color w:val="auto"/>
          <w:kern w:val="0"/>
          <w:sz w:val="32"/>
          <w:szCs w:val="32"/>
          <w:lang w:val="en-US" w:eastAsia="zh-CN"/>
        </w:rPr>
        <w:t>；依托中食产业园、遍地红辣椒专业合作社，推动加工企业与种植基地联动，支持农民专业合作社和家庭农场发展保鲜、烘干、分级、包装等初加工，实现蔬菜“当天采收、当天加工”，提高产品附加值，提升产品竞争力。</w:t>
      </w:r>
    </w:p>
    <w:p w14:paraId="109B89A2">
      <w:pPr>
        <w:pageBreakBefore w:val="0"/>
        <w:widowControl w:val="0"/>
        <w:kinsoku/>
        <w:wordWrap/>
        <w:overflowPunct/>
        <w:topLinePunct w:val="0"/>
        <w:autoSpaceDE/>
        <w:autoSpaceDN/>
        <w:bidi w:val="0"/>
        <w:adjustRightInd w:val="0"/>
        <w:snapToGrid w:val="0"/>
        <w:spacing w:line="600" w:lineRule="exact"/>
        <w:ind w:firstLine="643" w:firstLineChars="200"/>
        <w:textAlignment w:val="auto"/>
        <w:outlineLvl w:val="9"/>
        <w:rPr>
          <w:rFonts w:hint="default" w:ascii="仿宋_GB2312" w:hAnsi="仿宋_GB2312" w:eastAsia="仿宋_GB2312" w:cs="仿宋_GB2312"/>
          <w:b/>
          <w:bCs/>
          <w:color w:val="auto"/>
          <w:kern w:val="2"/>
          <w:sz w:val="32"/>
          <w:szCs w:val="21"/>
          <w:u w:val="none"/>
          <w:lang w:val="en-US" w:eastAsia="zh-CN" w:bidi="ar-SA"/>
        </w:rPr>
      </w:pPr>
      <w:r>
        <w:rPr>
          <w:rFonts w:hint="eastAsia" w:ascii="楷体_GB2312" w:hAnsi="楷体_GB2312" w:eastAsia="楷体_GB2312" w:cs="楷体_GB2312"/>
          <w:b/>
          <w:bCs/>
          <w:color w:val="auto"/>
          <w:kern w:val="2"/>
          <w:sz w:val="32"/>
          <w:szCs w:val="32"/>
          <w:u w:val="none"/>
          <w:lang w:val="en-US" w:eastAsia="zh-CN" w:bidi="ar-SA"/>
        </w:rPr>
        <w:t>冷链物流提升行动。</w:t>
      </w:r>
      <w:r>
        <w:rPr>
          <w:rFonts w:hint="eastAsia" w:ascii="仿宋_GB2312" w:hAnsi="仿宋_GB2312" w:eastAsia="仿宋_GB2312" w:cs="仿宋_GB2312"/>
          <w:snapToGrid w:val="0"/>
          <w:color w:val="auto"/>
          <w:kern w:val="0"/>
          <w:sz w:val="32"/>
          <w:szCs w:val="32"/>
          <w:lang w:val="en-US" w:eastAsia="zh-CN"/>
        </w:rPr>
        <w:t>利用好京东（扶沟）智慧物流港、吕潭西兰花产业园等冷链物流项目，依托乡镇蔬菜种植基地，规划布局一批功能齐全、设施先进的蔬菜产地批发市场、农产品低温配送处理中心，建立以蔬菜基地为依托的冷链物流配送体系。到2030年，建成3个冷链产地集配中心，15个蔬菜预冷保鲜库。</w:t>
      </w:r>
    </w:p>
    <w:p w14:paraId="5F772895">
      <w:pPr>
        <w:pageBreakBefore w:val="0"/>
        <w:widowControl w:val="0"/>
        <w:kinsoku/>
        <w:wordWrap/>
        <w:overflowPunct/>
        <w:topLinePunct w:val="0"/>
        <w:autoSpaceDE/>
        <w:autoSpaceDN/>
        <w:bidi w:val="0"/>
        <w:adjustRightInd w:val="0"/>
        <w:snapToGrid w:val="0"/>
        <w:spacing w:line="600" w:lineRule="exact"/>
        <w:ind w:firstLine="643" w:firstLineChars="200"/>
        <w:textAlignment w:val="auto"/>
        <w:outlineLvl w:val="9"/>
        <w:rPr>
          <w:rFonts w:hint="eastAsia" w:ascii="仿宋_GB2312" w:hAnsi="仿宋_GB2312" w:eastAsia="仿宋_GB2312" w:cs="仿宋_GB2312"/>
          <w:color w:val="auto"/>
          <w:kern w:val="2"/>
          <w:sz w:val="32"/>
          <w:szCs w:val="21"/>
          <w:u w:val="none"/>
          <w:lang w:val="en-US" w:eastAsia="zh-CN" w:bidi="ar-SA"/>
        </w:rPr>
      </w:pPr>
      <w:r>
        <w:rPr>
          <w:rFonts w:hint="eastAsia" w:ascii="楷体_GB2312" w:hAnsi="楷体_GB2312" w:eastAsia="楷体_GB2312" w:cs="楷体_GB2312"/>
          <w:b/>
          <w:bCs/>
          <w:color w:val="auto"/>
          <w:kern w:val="2"/>
          <w:sz w:val="32"/>
          <w:szCs w:val="32"/>
          <w:u w:val="none"/>
          <w:lang w:val="en-US" w:eastAsia="zh-CN" w:bidi="ar-SA"/>
        </w:rPr>
        <w:t>品牌营销提升行动。</w:t>
      </w:r>
      <w:r>
        <w:rPr>
          <w:rFonts w:hint="eastAsia" w:ascii="仿宋_GB2312" w:hAnsi="仿宋_GB2312" w:eastAsia="仿宋_GB2312" w:cs="仿宋_GB2312"/>
          <w:color w:val="auto"/>
          <w:kern w:val="2"/>
          <w:sz w:val="32"/>
          <w:szCs w:val="21"/>
          <w:u w:val="none"/>
          <w:lang w:val="en-US" w:eastAsia="zh-CN" w:bidi="ar-SA"/>
        </w:rPr>
        <w:t>扶持蔬菜企业和新型经营主体申报国家地理标志产品，争创中国驰名商标、河南著名商标、全国名特优新农产品等，提升“扶沟蔬菜”区域公共品牌的形象和价值；与中央广播电视总台、河南电视台等主流新闻媒体合作，宣传推介扶沟蔬菜品牌，鼓励蔬菜企业参加各类博览会，大力推介扶沟蔬菜；在北上广深等大城市建立“扶沟蔬菜”直销中心，入驻大型商超与社区便利店，大力推动蔬菜批发企业和市场建立订单生产模式，提升“扶沟蔬菜”品牌影响。</w:t>
      </w:r>
    </w:p>
    <w:p w14:paraId="05964F64">
      <w:pPr>
        <w:pageBreakBefore w:val="0"/>
        <w:kinsoku/>
        <w:wordWrap/>
        <w:overflowPunct/>
        <w:topLinePunct w:val="0"/>
        <w:autoSpaceDE/>
        <w:bidi w:val="0"/>
        <w:adjustRightInd w:val="0"/>
        <w:snapToGrid w:val="0"/>
        <w:spacing w:line="560" w:lineRule="exact"/>
        <w:ind w:firstLine="643" w:firstLineChars="200"/>
        <w:textAlignment w:val="auto"/>
        <w:rPr>
          <w:rFonts w:hint="default" w:ascii="仿宋_GB2312" w:hAnsi="仿宋_GB2312" w:eastAsia="仿宋_GB2312" w:cs="仿宋_GB2312"/>
          <w:color w:val="auto"/>
          <w:kern w:val="2"/>
          <w:sz w:val="32"/>
          <w:szCs w:val="21"/>
          <w:u w:val="none"/>
          <w:lang w:val="en-US" w:eastAsia="zh-CN" w:bidi="ar-SA"/>
        </w:rPr>
      </w:pPr>
      <w:r>
        <w:rPr>
          <w:rFonts w:hint="eastAsia" w:ascii="楷体_GB2312" w:hAnsi="楷体_GB2312" w:eastAsia="楷体_GB2312" w:cs="楷体_GB2312"/>
          <w:b/>
          <w:bCs/>
          <w:color w:val="auto"/>
          <w:kern w:val="2"/>
          <w:sz w:val="32"/>
          <w:szCs w:val="32"/>
          <w:u w:val="none"/>
          <w:lang w:val="en-US" w:eastAsia="zh-CN" w:bidi="ar-SA"/>
        </w:rPr>
        <w:t>人才支撑提升行动。</w:t>
      </w:r>
      <w:r>
        <w:rPr>
          <w:rFonts w:hint="eastAsia" w:ascii="仿宋_GB2312" w:hAnsi="仿宋_GB2312" w:eastAsia="仿宋_GB2312" w:cs="仿宋_GB2312"/>
          <w:color w:val="auto"/>
          <w:kern w:val="2"/>
          <w:sz w:val="32"/>
          <w:szCs w:val="21"/>
          <w:u w:val="none"/>
          <w:lang w:val="en-US" w:eastAsia="zh-CN" w:bidi="ar-SA"/>
        </w:rPr>
        <w:t>开</w:t>
      </w:r>
      <w:r>
        <w:rPr>
          <w:rFonts w:hint="default" w:ascii="仿宋_GB2312" w:hAnsi="仿宋_GB2312" w:eastAsia="仿宋_GB2312" w:cs="仿宋_GB2312"/>
          <w:color w:val="auto"/>
          <w:kern w:val="2"/>
          <w:sz w:val="32"/>
          <w:szCs w:val="21"/>
          <w:u w:val="none"/>
          <w:lang w:val="en-US" w:eastAsia="zh-CN" w:bidi="ar-SA"/>
        </w:rPr>
        <w:t>展“人人持证、技能河南”培训，</w:t>
      </w:r>
      <w:r>
        <w:rPr>
          <w:rFonts w:hint="eastAsia" w:ascii="仿宋_GB2312" w:hAnsi="仿宋_GB2312" w:eastAsia="仿宋_GB2312" w:cs="仿宋_GB2312"/>
          <w:b w:val="0"/>
          <w:bCs w:val="0"/>
          <w:color w:val="auto"/>
          <w:kern w:val="2"/>
          <w:sz w:val="32"/>
          <w:szCs w:val="32"/>
          <w:u w:val="none"/>
          <w:lang w:val="en-US" w:eastAsia="zh-CN" w:bidi="ar-SA"/>
        </w:rPr>
        <w:t>加强与中国农大、河南农大、中原农谷、周口职业技术学院、周口市农业技术推广中心、国家大宗蔬菜体系专家服务团队等的联合，通过校企联合、校地联合等形式，开展实用技术推广，加强经营主体带头人、蔬菜从业人员培训，培育“扶沟菜师”劳务品牌。到2030年，培训经营主体带头人、蔬菜从业人员5000人</w:t>
      </w:r>
      <w:r>
        <w:rPr>
          <w:rFonts w:hint="eastAsia" w:ascii="仿宋_GB2312" w:hAnsi="仿宋_GB2312" w:eastAsia="仿宋_GB2312" w:cs="仿宋_GB2312"/>
          <w:color w:val="auto"/>
          <w:kern w:val="2"/>
          <w:sz w:val="32"/>
          <w:szCs w:val="21"/>
          <w:u w:val="none"/>
          <w:lang w:val="en-US" w:eastAsia="zh-CN" w:bidi="ar-SA"/>
        </w:rPr>
        <w:t>，</w:t>
      </w:r>
      <w:r>
        <w:rPr>
          <w:rFonts w:hint="eastAsia" w:ascii="仿宋_GB2312" w:hAnsi="仿宋_GB2312" w:eastAsia="仿宋_GB2312" w:cs="仿宋_GB2312"/>
          <w:b w:val="0"/>
          <w:bCs w:val="0"/>
          <w:color w:val="auto"/>
          <w:kern w:val="2"/>
          <w:sz w:val="32"/>
          <w:szCs w:val="32"/>
          <w:u w:val="none"/>
          <w:lang w:val="en-US" w:eastAsia="zh-CN" w:bidi="ar-SA"/>
        </w:rPr>
        <w:t>“扶沟菜师”5000人以上。</w:t>
      </w:r>
    </w:p>
    <w:p w14:paraId="230CA047">
      <w:pPr>
        <w:keepNext/>
        <w:keepLines/>
        <w:pageBreakBefore w:val="0"/>
        <w:widowControl w:val="0"/>
        <w:numPr>
          <w:ilvl w:val="0"/>
          <w:numId w:val="0"/>
        </w:numPr>
        <w:kinsoku/>
        <w:wordWrap/>
        <w:overflowPunct/>
        <w:topLinePunct w:val="0"/>
        <w:autoSpaceDE/>
        <w:autoSpaceDN/>
        <w:bidi w:val="0"/>
        <w:adjustRightInd w:val="0"/>
        <w:snapToGrid w:val="0"/>
        <w:spacing w:before="156" w:beforeLines="50" w:after="156" w:afterLines="50" w:line="560" w:lineRule="exact"/>
        <w:ind w:leftChars="0"/>
        <w:jc w:val="center"/>
        <w:textAlignment w:val="auto"/>
        <w:outlineLvl w:val="2"/>
        <w:rPr>
          <w:rFonts w:hint="eastAsia" w:ascii="Times New Roman" w:hAnsi="Times New Roman" w:eastAsia="黑体" w:cs="Times New Roman"/>
          <w:b/>
          <w:bCs/>
          <w:color w:val="auto"/>
          <w:kern w:val="2"/>
          <w:sz w:val="32"/>
          <w:szCs w:val="32"/>
          <w:highlight w:val="none"/>
          <w:u w:val="none"/>
          <w:lang w:val="en-US" w:eastAsia="zh-CN" w:bidi="ar-SA"/>
        </w:rPr>
      </w:pPr>
      <w:bookmarkStart w:id="152" w:name="_Toc16251"/>
      <w:bookmarkStart w:id="153" w:name="_Toc1937"/>
      <w:bookmarkStart w:id="154" w:name="_Toc12814"/>
      <w:r>
        <w:rPr>
          <w:rFonts w:hint="eastAsia" w:ascii="Times New Roman" w:hAnsi="Times New Roman" w:eastAsia="黑体" w:cs="Times New Roman"/>
          <w:b/>
          <w:bCs/>
          <w:color w:val="auto"/>
          <w:kern w:val="2"/>
          <w:sz w:val="32"/>
          <w:szCs w:val="32"/>
          <w:highlight w:val="none"/>
          <w:u w:val="none"/>
          <w:lang w:val="en-US" w:eastAsia="zh-CN" w:bidi="ar-SA"/>
        </w:rPr>
        <w:t>第三节</w:t>
      </w:r>
      <w:bookmarkEnd w:id="152"/>
      <w:bookmarkEnd w:id="153"/>
      <w:r>
        <w:rPr>
          <w:rFonts w:hint="eastAsia" w:ascii="Times New Roman" w:hAnsi="Times New Roman" w:eastAsia="黑体" w:cs="Times New Roman"/>
          <w:b/>
          <w:bCs/>
          <w:color w:val="auto"/>
          <w:kern w:val="2"/>
          <w:sz w:val="32"/>
          <w:szCs w:val="32"/>
          <w:highlight w:val="none"/>
          <w:u w:val="none"/>
          <w:lang w:val="en-US" w:eastAsia="zh-CN" w:bidi="ar-SA"/>
        </w:rPr>
        <w:t>打造“三大载体”，促进蔬菜产业高质量发展</w:t>
      </w:r>
      <w:bookmarkEnd w:id="154"/>
    </w:p>
    <w:p w14:paraId="5D71C116">
      <w:pPr>
        <w:pageBreakBefore w:val="0"/>
        <w:kinsoku/>
        <w:wordWrap/>
        <w:overflowPunct/>
        <w:topLinePunct w:val="0"/>
        <w:autoSpaceDE/>
        <w:bidi w:val="0"/>
        <w:adjustRightInd w:val="0"/>
        <w:snapToGrid w:val="0"/>
        <w:spacing w:line="560" w:lineRule="exact"/>
        <w:ind w:firstLine="640" w:firstLineChars="200"/>
        <w:textAlignment w:val="auto"/>
        <w:rPr>
          <w:rFonts w:hint="default" w:ascii="仿宋_GB2312" w:hAnsi="仿宋_GB2312" w:eastAsia="仿宋_GB2312" w:cs="仿宋_GB2312"/>
          <w:color w:val="auto"/>
          <w:kern w:val="2"/>
          <w:sz w:val="32"/>
          <w:szCs w:val="21"/>
          <w:u w:val="none"/>
          <w:lang w:val="en-US" w:eastAsia="zh-CN" w:bidi="ar-SA"/>
        </w:rPr>
      </w:pPr>
      <w:r>
        <w:rPr>
          <w:rFonts w:hint="eastAsia" w:ascii="仿宋_GB2312" w:hAnsi="仿宋_GB2312" w:eastAsia="仿宋_GB2312" w:cs="仿宋_GB2312"/>
          <w:color w:val="auto"/>
          <w:kern w:val="2"/>
          <w:sz w:val="32"/>
          <w:szCs w:val="21"/>
          <w:u w:val="none"/>
          <w:lang w:val="en-US" w:eastAsia="zh-CN" w:bidi="ar-SA"/>
        </w:rPr>
        <w:t>为</w:t>
      </w:r>
      <w:r>
        <w:rPr>
          <w:rFonts w:hint="default" w:ascii="仿宋_GB2312" w:hAnsi="仿宋_GB2312" w:eastAsia="仿宋_GB2312" w:cs="仿宋_GB2312"/>
          <w:color w:val="auto"/>
          <w:kern w:val="2"/>
          <w:sz w:val="32"/>
          <w:szCs w:val="21"/>
          <w:u w:val="none"/>
          <w:lang w:val="en-US" w:eastAsia="zh-CN" w:bidi="ar-SA"/>
        </w:rPr>
        <w:t>推动蔬菜产业实现规模化、链条化、融合化发展</w:t>
      </w:r>
      <w:r>
        <w:rPr>
          <w:rFonts w:hint="eastAsia" w:ascii="仿宋_GB2312" w:hAnsi="仿宋_GB2312" w:eastAsia="仿宋_GB2312" w:cs="仿宋_GB2312"/>
          <w:color w:val="auto"/>
          <w:kern w:val="2"/>
          <w:sz w:val="32"/>
          <w:szCs w:val="21"/>
          <w:u w:val="none"/>
          <w:lang w:val="en-US" w:eastAsia="zh-CN" w:bidi="ar-SA"/>
        </w:rPr>
        <w:t>，着力打造三大核心载体平台，通过强化国家级产业园的产业集聚功能、示范带的廊道牵引效应和综合体的融合展示窗口，构筑起支撑蔬菜产业高质量发展的“四梁八柱”</w:t>
      </w:r>
      <w:r>
        <w:rPr>
          <w:rFonts w:hint="default" w:ascii="仿宋_GB2312" w:hAnsi="仿宋_GB2312" w:eastAsia="仿宋_GB2312" w:cs="仿宋_GB2312"/>
          <w:color w:val="auto"/>
          <w:kern w:val="2"/>
          <w:sz w:val="32"/>
          <w:szCs w:val="21"/>
          <w:u w:val="none"/>
          <w:lang w:val="en-US" w:eastAsia="zh-CN" w:bidi="ar-SA"/>
        </w:rPr>
        <w:t>。</w:t>
      </w:r>
    </w:p>
    <w:p w14:paraId="591809E0">
      <w:pPr>
        <w:pageBreakBefore w:val="0"/>
        <w:kinsoku/>
        <w:wordWrap/>
        <w:overflowPunct/>
        <w:topLinePunct w:val="0"/>
        <w:autoSpaceDE/>
        <w:bidi w:val="0"/>
        <w:adjustRightInd w:val="0"/>
        <w:snapToGrid w:val="0"/>
        <w:spacing w:line="560" w:lineRule="exact"/>
        <w:ind w:firstLine="643" w:firstLineChars="200"/>
        <w:textAlignment w:val="auto"/>
        <w:rPr>
          <w:rFonts w:hint="default" w:ascii="仿宋_GB2312" w:hAnsi="仿宋_GB2312" w:eastAsia="仿宋_GB2312" w:cs="仿宋_GB2312"/>
          <w:color w:val="auto"/>
          <w:kern w:val="2"/>
          <w:sz w:val="32"/>
          <w:szCs w:val="21"/>
          <w:u w:val="none"/>
          <w:lang w:val="en-US" w:eastAsia="zh-CN" w:bidi="ar-SA"/>
        </w:rPr>
      </w:pPr>
      <w:r>
        <w:rPr>
          <w:rFonts w:hint="default" w:ascii="楷体_GB2312" w:hAnsi="楷体_GB2312" w:eastAsia="楷体_GB2312" w:cs="楷体_GB2312"/>
          <w:b/>
          <w:bCs/>
          <w:color w:val="auto"/>
          <w:kern w:val="2"/>
          <w:sz w:val="32"/>
          <w:szCs w:val="32"/>
          <w:u w:val="none"/>
          <w:lang w:val="en-US" w:eastAsia="zh-CN" w:bidi="ar-SA"/>
        </w:rPr>
        <w:t>国家级现代农业产业园</w:t>
      </w:r>
      <w:r>
        <w:rPr>
          <w:rFonts w:hint="eastAsia" w:ascii="楷体_GB2312" w:hAnsi="楷体_GB2312" w:eastAsia="楷体_GB2312" w:cs="楷体_GB2312"/>
          <w:b/>
          <w:bCs/>
          <w:color w:val="auto"/>
          <w:kern w:val="2"/>
          <w:sz w:val="32"/>
          <w:szCs w:val="32"/>
          <w:u w:val="none"/>
          <w:lang w:val="en-US" w:eastAsia="zh-CN" w:bidi="ar-SA"/>
        </w:rPr>
        <w:t>。</w:t>
      </w:r>
      <w:r>
        <w:rPr>
          <w:rFonts w:hint="default" w:ascii="仿宋_GB2312" w:hAnsi="仿宋_GB2312" w:eastAsia="仿宋_GB2312" w:cs="仿宋_GB2312"/>
          <w:b/>
          <w:bCs/>
          <w:color w:val="auto"/>
          <w:kern w:val="2"/>
          <w:sz w:val="32"/>
          <w:szCs w:val="21"/>
          <w:u w:val="none"/>
          <w:lang w:val="en-US" w:eastAsia="zh-CN" w:bidi="ar-SA"/>
        </w:rPr>
        <w:t>明确产业园定位。</w:t>
      </w:r>
      <w:r>
        <w:rPr>
          <w:rFonts w:hint="default" w:ascii="仿宋_GB2312" w:hAnsi="仿宋_GB2312" w:eastAsia="仿宋_GB2312" w:cs="仿宋_GB2312"/>
          <w:color w:val="auto"/>
          <w:kern w:val="2"/>
          <w:sz w:val="32"/>
          <w:szCs w:val="21"/>
          <w:u w:val="none"/>
          <w:lang w:val="en-US" w:eastAsia="zh-CN" w:bidi="ar-SA"/>
        </w:rPr>
        <w:t>以蔬菜全产业链发展为核心，整合现有省级现代农业产业园资源，覆盖练寺镇、柴岗乡、韭园镇等</w:t>
      </w:r>
      <w:r>
        <w:rPr>
          <w:rFonts w:hint="eastAsia" w:ascii="仿宋_GB2312" w:hAnsi="仿宋_GB2312" w:eastAsia="仿宋_GB2312" w:cs="仿宋_GB2312"/>
          <w:color w:val="auto"/>
          <w:kern w:val="2"/>
          <w:sz w:val="32"/>
          <w:szCs w:val="21"/>
          <w:u w:val="none"/>
          <w:lang w:val="en-US" w:eastAsia="zh-CN" w:bidi="ar-SA"/>
        </w:rPr>
        <w:t>多</w:t>
      </w:r>
      <w:r>
        <w:rPr>
          <w:rFonts w:hint="default" w:ascii="仿宋_GB2312" w:hAnsi="仿宋_GB2312" w:eastAsia="仿宋_GB2312" w:cs="仿宋_GB2312"/>
          <w:color w:val="auto"/>
          <w:kern w:val="2"/>
          <w:sz w:val="32"/>
          <w:szCs w:val="21"/>
          <w:u w:val="none"/>
          <w:lang w:val="en-US" w:eastAsia="zh-CN" w:bidi="ar-SA"/>
        </w:rPr>
        <w:t>个乡镇，打造“研发-种植-加工-物流-文旅”一体化的国家级现代农业产业园。</w:t>
      </w:r>
      <w:r>
        <w:rPr>
          <w:rFonts w:hint="default" w:ascii="仿宋_GB2312" w:hAnsi="仿宋_GB2312" w:eastAsia="仿宋_GB2312" w:cs="仿宋_GB2312"/>
          <w:b/>
          <w:bCs/>
          <w:color w:val="auto"/>
          <w:kern w:val="2"/>
          <w:sz w:val="32"/>
          <w:szCs w:val="21"/>
          <w:u w:val="none"/>
          <w:lang w:val="en-US" w:eastAsia="zh-CN" w:bidi="ar-SA"/>
        </w:rPr>
        <w:t>完善产业园设施。</w:t>
      </w:r>
      <w:r>
        <w:rPr>
          <w:rFonts w:hint="default" w:ascii="仿宋_GB2312" w:hAnsi="仿宋_GB2312" w:eastAsia="仿宋_GB2312" w:cs="仿宋_GB2312"/>
          <w:color w:val="auto"/>
          <w:kern w:val="2"/>
          <w:sz w:val="32"/>
          <w:szCs w:val="21"/>
          <w:u w:val="none"/>
          <w:lang w:val="en-US" w:eastAsia="zh-CN" w:bidi="ar-SA"/>
        </w:rPr>
        <w:t>建设种苗研发中心、标准化种植基地、精深加工区、冷链物流区、展示展销区等功能区；配套建设</w:t>
      </w:r>
      <w:r>
        <w:rPr>
          <w:rFonts w:hint="eastAsia" w:ascii="仿宋_GB2312" w:hAnsi="仿宋_GB2312" w:eastAsia="仿宋_GB2312" w:cs="仿宋_GB2312"/>
          <w:color w:val="auto"/>
          <w:kern w:val="2"/>
          <w:sz w:val="32"/>
          <w:szCs w:val="21"/>
          <w:u w:val="none"/>
          <w:lang w:val="en-US" w:eastAsia="zh-CN" w:bidi="ar-SA"/>
        </w:rPr>
        <w:t>5</w:t>
      </w:r>
      <w:r>
        <w:rPr>
          <w:rFonts w:hint="default" w:ascii="仿宋_GB2312" w:hAnsi="仿宋_GB2312" w:eastAsia="仿宋_GB2312" w:cs="仿宋_GB2312"/>
          <w:color w:val="auto"/>
          <w:kern w:val="2"/>
          <w:sz w:val="32"/>
          <w:szCs w:val="21"/>
          <w:u w:val="none"/>
          <w:lang w:val="en-US" w:eastAsia="zh-CN" w:bidi="ar-SA"/>
        </w:rPr>
        <w:t>G</w:t>
      </w:r>
      <w:r>
        <w:rPr>
          <w:rFonts w:hint="eastAsia" w:ascii="仿宋_GB2312" w:hAnsi="仿宋_GB2312" w:eastAsia="仿宋_GB2312" w:cs="仿宋_GB2312"/>
          <w:color w:val="auto"/>
          <w:kern w:val="2"/>
          <w:sz w:val="32"/>
          <w:szCs w:val="21"/>
          <w:u w:val="none"/>
          <w:lang w:val="en-US" w:eastAsia="zh-CN" w:bidi="ar-SA"/>
        </w:rPr>
        <w:t>+</w:t>
      </w:r>
      <w:r>
        <w:rPr>
          <w:rFonts w:hint="default" w:ascii="仿宋_GB2312" w:hAnsi="仿宋_GB2312" w:eastAsia="仿宋_GB2312" w:cs="仿宋_GB2312"/>
          <w:color w:val="auto"/>
          <w:kern w:val="2"/>
          <w:sz w:val="32"/>
          <w:szCs w:val="21"/>
          <w:u w:val="none"/>
          <w:lang w:val="en-US" w:eastAsia="zh-CN" w:bidi="ar-SA"/>
        </w:rPr>
        <w:t>基站、物联网设备、智慧农业平台，实现产业园数字化管理；修建园区道路，连接各功能区与外部交通干线，提升通行效率。</w:t>
      </w:r>
      <w:r>
        <w:rPr>
          <w:rFonts w:hint="default" w:ascii="仿宋_GB2312" w:hAnsi="仿宋_GB2312" w:eastAsia="仿宋_GB2312" w:cs="仿宋_GB2312"/>
          <w:b/>
          <w:bCs/>
          <w:color w:val="auto"/>
          <w:kern w:val="2"/>
          <w:sz w:val="32"/>
          <w:szCs w:val="21"/>
          <w:u w:val="none"/>
          <w:lang w:val="en-US" w:eastAsia="zh-CN" w:bidi="ar-SA"/>
        </w:rPr>
        <w:t>培育产业园主体。</w:t>
      </w:r>
      <w:r>
        <w:rPr>
          <w:rFonts w:hint="default" w:ascii="仿宋_GB2312" w:hAnsi="仿宋_GB2312" w:eastAsia="仿宋_GB2312" w:cs="仿宋_GB2312"/>
          <w:color w:val="auto"/>
          <w:kern w:val="2"/>
          <w:sz w:val="32"/>
          <w:szCs w:val="21"/>
          <w:u w:val="none"/>
          <w:lang w:val="en-US" w:eastAsia="zh-CN" w:bidi="ar-SA"/>
        </w:rPr>
        <w:t>引进国家级农业产业化龙头企业，培育省级龙头企业，带动合作社与家庭农场入驻；建立“龙头企业+合作社+农户”利益联结机制，通过保底收购、分红返利等方式，确保农户分享产业增值收益，2030年产业园内农户人均蔬菜收入超3万元。</w:t>
      </w:r>
    </w:p>
    <w:p w14:paraId="5F254735">
      <w:pPr>
        <w:pageBreakBefore w:val="0"/>
        <w:kinsoku/>
        <w:wordWrap/>
        <w:overflowPunct/>
        <w:topLinePunct w:val="0"/>
        <w:autoSpaceDE/>
        <w:bidi w:val="0"/>
        <w:adjustRightInd w:val="0"/>
        <w:snapToGrid w:val="0"/>
        <w:spacing w:line="560" w:lineRule="exact"/>
        <w:ind w:firstLine="643" w:firstLineChars="200"/>
        <w:textAlignment w:val="auto"/>
        <w:rPr>
          <w:rFonts w:hint="default" w:ascii="仿宋_GB2312" w:hAnsi="仿宋_GB2312" w:eastAsia="仿宋_GB2312" w:cs="仿宋_GB2312"/>
          <w:color w:val="auto"/>
          <w:kern w:val="2"/>
          <w:sz w:val="32"/>
          <w:szCs w:val="21"/>
          <w:u w:val="none"/>
          <w:lang w:val="en-US" w:eastAsia="zh-CN" w:bidi="ar-SA"/>
        </w:rPr>
      </w:pPr>
      <w:r>
        <w:rPr>
          <w:rFonts w:hint="default" w:ascii="楷体_GB2312" w:hAnsi="楷体_GB2312" w:eastAsia="楷体_GB2312" w:cs="楷体_GB2312"/>
          <w:b/>
          <w:bCs/>
          <w:color w:val="auto"/>
          <w:kern w:val="2"/>
          <w:sz w:val="32"/>
          <w:szCs w:val="32"/>
          <w:u w:val="none"/>
          <w:lang w:val="en-US" w:eastAsia="zh-CN" w:bidi="ar-SA"/>
        </w:rPr>
        <w:t>大有兴业现代农业产业园</w:t>
      </w:r>
      <w:r>
        <w:rPr>
          <w:rFonts w:hint="eastAsia" w:ascii="楷体_GB2312" w:hAnsi="楷体_GB2312" w:eastAsia="楷体_GB2312" w:cs="楷体_GB2312"/>
          <w:b/>
          <w:bCs/>
          <w:color w:val="auto"/>
          <w:kern w:val="2"/>
          <w:sz w:val="32"/>
          <w:szCs w:val="32"/>
          <w:u w:val="none"/>
          <w:lang w:val="en-US" w:eastAsia="zh-CN" w:bidi="ar-SA"/>
        </w:rPr>
        <w:t>。</w:t>
      </w:r>
      <w:r>
        <w:rPr>
          <w:rFonts w:hint="eastAsia" w:ascii="仿宋_GB2312" w:hAnsi="仿宋_GB2312" w:eastAsia="仿宋_GB2312" w:cs="仿宋_GB2312"/>
          <w:color w:val="auto"/>
          <w:kern w:val="2"/>
          <w:sz w:val="32"/>
          <w:szCs w:val="21"/>
          <w:u w:val="none"/>
          <w:lang w:val="en-US" w:eastAsia="zh-CN" w:bidi="ar-SA"/>
        </w:rPr>
        <w:t>通过</w:t>
      </w:r>
      <w:r>
        <w:rPr>
          <w:rFonts w:hint="default" w:ascii="仿宋_GB2312" w:hAnsi="仿宋_GB2312" w:eastAsia="仿宋_GB2312" w:cs="仿宋_GB2312"/>
          <w:color w:val="auto"/>
          <w:kern w:val="2"/>
          <w:sz w:val="32"/>
          <w:szCs w:val="21"/>
          <w:u w:val="none"/>
          <w:lang w:val="en-US" w:eastAsia="zh-CN" w:bidi="ar-SA"/>
        </w:rPr>
        <w:t>锚定科技赋能与生态种植双核心，打造集“新品种培育、智能化种植、绿色生产示范”于一体的现代化产业载体。</w:t>
      </w:r>
      <w:r>
        <w:rPr>
          <w:rFonts w:hint="default" w:ascii="仿宋_GB2312" w:hAnsi="仿宋_GB2312" w:eastAsia="仿宋_GB2312" w:cs="仿宋_GB2312"/>
          <w:b/>
          <w:bCs/>
          <w:color w:val="auto"/>
          <w:kern w:val="2"/>
          <w:sz w:val="32"/>
          <w:szCs w:val="21"/>
          <w:u w:val="none"/>
          <w:lang w:val="en-US" w:eastAsia="zh-CN" w:bidi="ar-SA"/>
        </w:rPr>
        <w:t>聚焦品种创新，</w:t>
      </w:r>
      <w:r>
        <w:rPr>
          <w:rFonts w:hint="default" w:ascii="仿宋_GB2312" w:hAnsi="仿宋_GB2312" w:eastAsia="仿宋_GB2312" w:cs="仿宋_GB2312"/>
          <w:color w:val="auto"/>
          <w:kern w:val="2"/>
          <w:sz w:val="32"/>
          <w:szCs w:val="21"/>
          <w:u w:val="none"/>
          <w:lang w:val="en-US" w:eastAsia="zh-CN" w:bidi="ar-SA"/>
        </w:rPr>
        <w:t>深化与中科院合肥物质研究院等科研机构合作，建设院士专家工作站，重点开展番茄、彩椒等高端蔬菜新品种的分子育种研究，填补区域特色品种空白。</w:t>
      </w:r>
      <w:r>
        <w:rPr>
          <w:rFonts w:hint="default" w:ascii="仿宋_GB2312" w:hAnsi="仿宋_GB2312" w:eastAsia="仿宋_GB2312" w:cs="仿宋_GB2312"/>
          <w:b/>
          <w:bCs/>
          <w:color w:val="auto"/>
          <w:kern w:val="2"/>
          <w:sz w:val="32"/>
          <w:szCs w:val="21"/>
          <w:u w:val="none"/>
          <w:lang w:val="en-US" w:eastAsia="zh-CN" w:bidi="ar-SA"/>
        </w:rPr>
        <w:t>强化智能种植示范，</w:t>
      </w:r>
      <w:r>
        <w:rPr>
          <w:rFonts w:hint="default" w:ascii="仿宋_GB2312" w:hAnsi="仿宋_GB2312" w:eastAsia="仿宋_GB2312" w:cs="仿宋_GB2312"/>
          <w:color w:val="auto"/>
          <w:kern w:val="2"/>
          <w:sz w:val="32"/>
          <w:szCs w:val="21"/>
          <w:u w:val="none"/>
          <w:lang w:val="en-US" w:eastAsia="zh-CN" w:bidi="ar-SA"/>
        </w:rPr>
        <w:t>投资建设高标准智能温室和工厂化无土栽培车间，配套水肥一体化、环境智能调控、病虫害绿色防控等先进技术装备，打造“全程可追溯、生产标准化”的绿色种植样板区。</w:t>
      </w:r>
      <w:r>
        <w:rPr>
          <w:rFonts w:hint="default" w:ascii="仿宋_GB2312" w:hAnsi="仿宋_GB2312" w:eastAsia="仿宋_GB2312" w:cs="仿宋_GB2312"/>
          <w:b/>
          <w:bCs/>
          <w:color w:val="auto"/>
          <w:kern w:val="2"/>
          <w:sz w:val="32"/>
          <w:szCs w:val="21"/>
          <w:u w:val="none"/>
          <w:lang w:val="en-US" w:eastAsia="zh-CN" w:bidi="ar-SA"/>
        </w:rPr>
        <w:t>完善产业配套，</w:t>
      </w:r>
      <w:r>
        <w:rPr>
          <w:rFonts w:hint="default" w:ascii="仿宋_GB2312" w:hAnsi="仿宋_GB2312" w:eastAsia="仿宋_GB2312" w:cs="仿宋_GB2312"/>
          <w:color w:val="auto"/>
          <w:kern w:val="2"/>
          <w:sz w:val="32"/>
          <w:szCs w:val="21"/>
          <w:u w:val="none"/>
          <w:lang w:val="en-US" w:eastAsia="zh-CN" w:bidi="ar-SA"/>
        </w:rPr>
        <w:t>建设集约化育苗中心，为周边种植户提供优质种苗支撑；配套建设小型农产品初加工车间，开展清洗、分拣、包装等预处理服务，延伸产业链条，提升产品附加值。</w:t>
      </w:r>
    </w:p>
    <w:p w14:paraId="76A22896">
      <w:pPr>
        <w:pageBreakBefore w:val="0"/>
        <w:kinsoku/>
        <w:wordWrap/>
        <w:overflowPunct/>
        <w:topLinePunct w:val="0"/>
        <w:autoSpaceDE/>
        <w:bidi w:val="0"/>
        <w:adjustRightInd w:val="0"/>
        <w:snapToGrid w:val="0"/>
        <w:spacing w:line="560" w:lineRule="exact"/>
        <w:ind w:firstLine="643" w:firstLineChars="200"/>
        <w:textAlignment w:val="auto"/>
        <w:rPr>
          <w:rFonts w:hint="default" w:ascii="仿宋_GB2312" w:hAnsi="仿宋_GB2312" w:eastAsia="仿宋_GB2312" w:cs="仿宋_GB2312"/>
          <w:color w:val="auto"/>
          <w:kern w:val="2"/>
          <w:sz w:val="32"/>
          <w:szCs w:val="21"/>
          <w:u w:val="none"/>
          <w:lang w:val="en-US" w:eastAsia="zh-CN" w:bidi="ar-SA"/>
        </w:rPr>
      </w:pPr>
      <w:r>
        <w:rPr>
          <w:rFonts w:hint="default" w:ascii="楷体_GB2312" w:hAnsi="楷体_GB2312" w:eastAsia="楷体_GB2312" w:cs="楷体_GB2312"/>
          <w:b/>
          <w:bCs/>
          <w:color w:val="auto"/>
          <w:kern w:val="2"/>
          <w:sz w:val="32"/>
          <w:szCs w:val="32"/>
          <w:u w:val="none"/>
          <w:lang w:val="en-US" w:eastAsia="zh-CN" w:bidi="ar-SA"/>
        </w:rPr>
        <w:t>直播电商基地</w:t>
      </w:r>
      <w:r>
        <w:rPr>
          <w:rFonts w:hint="eastAsia" w:ascii="楷体_GB2312" w:hAnsi="楷体_GB2312" w:eastAsia="楷体_GB2312" w:cs="楷体_GB2312"/>
          <w:b/>
          <w:bCs/>
          <w:color w:val="auto"/>
          <w:kern w:val="2"/>
          <w:sz w:val="32"/>
          <w:szCs w:val="32"/>
          <w:u w:val="none"/>
          <w:lang w:val="en-US" w:eastAsia="zh-CN" w:bidi="ar-SA"/>
        </w:rPr>
        <w:t>。</w:t>
      </w:r>
      <w:r>
        <w:rPr>
          <w:rFonts w:hint="default" w:ascii="仿宋_GB2312" w:hAnsi="仿宋_GB2312" w:eastAsia="仿宋_GB2312" w:cs="仿宋_GB2312"/>
          <w:color w:val="auto"/>
          <w:kern w:val="2"/>
          <w:sz w:val="32"/>
          <w:szCs w:val="21"/>
          <w:u w:val="none"/>
          <w:lang w:val="en-US" w:eastAsia="zh-CN" w:bidi="ar-SA"/>
        </w:rPr>
        <w:t>以“数字赋能、品牌增效”为核心，打造“线上展示+直播带货+产销对接”的现代化电商服务载体。</w:t>
      </w:r>
      <w:r>
        <w:rPr>
          <w:rFonts w:hint="default" w:ascii="仿宋_GB2312" w:hAnsi="仿宋_GB2312" w:eastAsia="仿宋_GB2312" w:cs="仿宋_GB2312"/>
          <w:b/>
          <w:bCs/>
          <w:color w:val="auto"/>
          <w:kern w:val="2"/>
          <w:sz w:val="32"/>
          <w:szCs w:val="21"/>
          <w:u w:val="none"/>
          <w:lang w:val="en-US" w:eastAsia="zh-CN" w:bidi="ar-SA"/>
        </w:rPr>
        <w:t>搭建多元直播场景，</w:t>
      </w:r>
      <w:r>
        <w:rPr>
          <w:rFonts w:hint="default" w:ascii="仿宋_GB2312" w:hAnsi="仿宋_GB2312" w:eastAsia="仿宋_GB2312" w:cs="仿宋_GB2312"/>
          <w:color w:val="auto"/>
          <w:kern w:val="2"/>
          <w:sz w:val="32"/>
          <w:szCs w:val="21"/>
          <w:u w:val="none"/>
          <w:lang w:val="en-US" w:eastAsia="zh-CN" w:bidi="ar-SA"/>
        </w:rPr>
        <w:t>建设“蔬菜大棚实景直播间”“产品溯源展示厅”“文创产品直播间”三大功能区，实现从种植现场到产品加工的全流程可视化直播，增强消费者信任度。</w:t>
      </w:r>
      <w:r>
        <w:rPr>
          <w:rFonts w:hint="default" w:ascii="仿宋_GB2312" w:hAnsi="仿宋_GB2312" w:eastAsia="仿宋_GB2312" w:cs="仿宋_GB2312"/>
          <w:b/>
          <w:bCs/>
          <w:color w:val="auto"/>
          <w:kern w:val="2"/>
          <w:sz w:val="32"/>
          <w:szCs w:val="21"/>
          <w:u w:val="none"/>
          <w:lang w:val="en-US" w:eastAsia="zh-CN" w:bidi="ar-SA"/>
        </w:rPr>
        <w:t>完善配套服务体系，</w:t>
      </w:r>
      <w:r>
        <w:rPr>
          <w:rFonts w:hint="default" w:ascii="仿宋_GB2312" w:hAnsi="仿宋_GB2312" w:eastAsia="仿宋_GB2312" w:cs="仿宋_GB2312"/>
          <w:color w:val="auto"/>
          <w:kern w:val="2"/>
          <w:sz w:val="32"/>
          <w:szCs w:val="21"/>
          <w:u w:val="none"/>
          <w:lang w:val="en-US" w:eastAsia="zh-CN" w:bidi="ar-SA"/>
        </w:rPr>
        <w:t>建设共享直播设备中心、专业主播孵化基地、物流打包分拣车间，为入驻商家提供设备租赁、主播培训、仓储物流等“一站式”服务；引入专业MCN机构，开展直播运营、短视频策划等专项服务，提升直播带货专业化水平。</w:t>
      </w:r>
      <w:r>
        <w:rPr>
          <w:rFonts w:hint="default" w:ascii="仿宋_GB2312" w:hAnsi="仿宋_GB2312" w:eastAsia="仿宋_GB2312" w:cs="仿宋_GB2312"/>
          <w:b/>
          <w:bCs/>
          <w:color w:val="auto"/>
          <w:kern w:val="2"/>
          <w:sz w:val="32"/>
          <w:szCs w:val="21"/>
          <w:u w:val="none"/>
          <w:lang w:val="en-US" w:eastAsia="zh-CN" w:bidi="ar-SA"/>
        </w:rPr>
        <w:t>强化品牌推广，</w:t>
      </w:r>
      <w:r>
        <w:rPr>
          <w:rFonts w:hint="default" w:ascii="仿宋_GB2312" w:hAnsi="仿宋_GB2312" w:eastAsia="仿宋_GB2312" w:cs="仿宋_GB2312"/>
          <w:color w:val="auto"/>
          <w:kern w:val="2"/>
          <w:sz w:val="32"/>
          <w:szCs w:val="21"/>
          <w:u w:val="none"/>
          <w:lang w:val="en-US" w:eastAsia="zh-CN" w:bidi="ar-SA"/>
        </w:rPr>
        <w:t>整合“扶沟蔬菜”区域公共品牌资源，集中推广“南北绿韭”“天御红”等优质产品，组织开展“蔬菜文化节直播专场”“助农惠民直播季”等活动，扩大品牌影响力。</w:t>
      </w:r>
      <w:r>
        <w:rPr>
          <w:rFonts w:hint="default" w:ascii="仿宋_GB2312" w:hAnsi="仿宋_GB2312" w:eastAsia="仿宋_GB2312" w:cs="仿宋_GB2312"/>
          <w:b/>
          <w:bCs/>
          <w:color w:val="auto"/>
          <w:kern w:val="2"/>
          <w:sz w:val="32"/>
          <w:szCs w:val="21"/>
          <w:u w:val="none"/>
          <w:lang w:val="en-US" w:eastAsia="zh-CN" w:bidi="ar-SA"/>
        </w:rPr>
        <w:t>拓展产销对接渠道，</w:t>
      </w:r>
      <w:r>
        <w:rPr>
          <w:rFonts w:hint="default" w:ascii="仿宋_GB2312" w:hAnsi="仿宋_GB2312" w:eastAsia="仿宋_GB2312" w:cs="仿宋_GB2312"/>
          <w:color w:val="auto"/>
          <w:kern w:val="2"/>
          <w:sz w:val="32"/>
          <w:szCs w:val="21"/>
          <w:u w:val="none"/>
          <w:lang w:val="en-US" w:eastAsia="zh-CN" w:bidi="ar-SA"/>
        </w:rPr>
        <w:t>搭建“扶沟蔬菜数字交易平台”，实现直播订单与种植基地、加工企业实时对接，推动“直播订单+产地直发”模式常态化；对接京东、抖音等主流电商平台，开设“扶沟蔬菜官方旗舰店”，实现线上销售额占比逐年提升。</w:t>
      </w:r>
    </w:p>
    <w:p w14:paraId="0B7B7EB6">
      <w:pPr>
        <w:keepNext/>
        <w:keepLines/>
        <w:pageBreakBefore w:val="0"/>
        <w:widowControl w:val="0"/>
        <w:numPr>
          <w:ilvl w:val="0"/>
          <w:numId w:val="0"/>
        </w:numPr>
        <w:kinsoku/>
        <w:wordWrap/>
        <w:overflowPunct/>
        <w:topLinePunct w:val="0"/>
        <w:autoSpaceDE/>
        <w:autoSpaceDN/>
        <w:bidi w:val="0"/>
        <w:adjustRightInd w:val="0"/>
        <w:snapToGrid w:val="0"/>
        <w:spacing w:before="156" w:beforeLines="50" w:after="156" w:afterLines="50" w:line="560" w:lineRule="exact"/>
        <w:ind w:leftChars="0"/>
        <w:jc w:val="center"/>
        <w:textAlignment w:val="auto"/>
        <w:outlineLvl w:val="2"/>
        <w:rPr>
          <w:rFonts w:hint="eastAsia" w:ascii="Times New Roman" w:hAnsi="Times New Roman" w:eastAsia="黑体" w:cs="Times New Roman"/>
          <w:b/>
          <w:bCs/>
          <w:color w:val="auto"/>
          <w:kern w:val="2"/>
          <w:sz w:val="32"/>
          <w:szCs w:val="32"/>
          <w:highlight w:val="none"/>
          <w:u w:val="none"/>
          <w:lang w:val="en-US" w:eastAsia="zh-CN" w:bidi="ar-SA"/>
        </w:rPr>
      </w:pPr>
      <w:bookmarkStart w:id="155" w:name="_Toc18613"/>
      <w:bookmarkStart w:id="156" w:name="_Toc3187"/>
      <w:bookmarkStart w:id="157" w:name="_Toc19293"/>
      <w:r>
        <w:rPr>
          <w:rFonts w:hint="eastAsia" w:ascii="Times New Roman" w:hAnsi="Times New Roman" w:eastAsia="黑体" w:cs="Times New Roman"/>
          <w:b/>
          <w:bCs/>
          <w:color w:val="auto"/>
          <w:kern w:val="2"/>
          <w:sz w:val="32"/>
          <w:szCs w:val="32"/>
          <w:highlight w:val="none"/>
          <w:u w:val="none"/>
          <w:lang w:val="en-US" w:eastAsia="zh-CN" w:bidi="ar-SA"/>
        </w:rPr>
        <w:t>第四节</w:t>
      </w:r>
      <w:bookmarkEnd w:id="155"/>
      <w:bookmarkEnd w:id="156"/>
      <w:r>
        <w:rPr>
          <w:rFonts w:hint="eastAsia" w:ascii="Times New Roman" w:hAnsi="Times New Roman" w:eastAsia="黑体" w:cs="Times New Roman"/>
          <w:b/>
          <w:bCs/>
          <w:color w:val="auto"/>
          <w:kern w:val="2"/>
          <w:sz w:val="32"/>
          <w:szCs w:val="32"/>
          <w:highlight w:val="none"/>
          <w:u w:val="none"/>
          <w:lang w:val="en-US" w:eastAsia="zh-CN" w:bidi="ar-SA"/>
        </w:rPr>
        <w:t>拓展蔬菜产业发展空间，深化“三项合作”</w:t>
      </w:r>
      <w:bookmarkEnd w:id="157"/>
    </w:p>
    <w:p w14:paraId="1EA19EDA">
      <w:pPr>
        <w:pageBreakBefore w:val="0"/>
        <w:kinsoku/>
        <w:wordWrap/>
        <w:overflowPunct/>
        <w:topLinePunct w:val="0"/>
        <w:autoSpaceDE/>
        <w:bidi w:val="0"/>
        <w:adjustRightInd w:val="0"/>
        <w:snapToGrid w:val="0"/>
        <w:spacing w:line="560" w:lineRule="exact"/>
        <w:ind w:firstLine="640" w:firstLineChars="200"/>
        <w:textAlignment w:val="auto"/>
        <w:rPr>
          <w:rFonts w:hint="default" w:ascii="仿宋_GB2312" w:hAnsi="仿宋_GB2312" w:eastAsia="仿宋_GB2312" w:cs="仿宋_GB2312"/>
          <w:color w:val="auto"/>
          <w:kern w:val="2"/>
          <w:sz w:val="32"/>
          <w:szCs w:val="21"/>
          <w:u w:val="none"/>
          <w:lang w:val="en-US" w:eastAsia="zh-CN" w:bidi="ar-SA"/>
        </w:rPr>
      </w:pPr>
      <w:r>
        <w:rPr>
          <w:rFonts w:hint="eastAsia" w:ascii="仿宋_GB2312" w:hAnsi="仿宋_GB2312" w:eastAsia="仿宋_GB2312" w:cs="仿宋_GB2312"/>
          <w:color w:val="auto"/>
          <w:kern w:val="2"/>
          <w:sz w:val="32"/>
          <w:szCs w:val="21"/>
          <w:u w:val="none"/>
          <w:lang w:val="en-US" w:eastAsia="zh-CN" w:bidi="ar-SA"/>
        </w:rPr>
        <w:t>以</w:t>
      </w:r>
      <w:r>
        <w:rPr>
          <w:rFonts w:hint="default" w:ascii="仿宋_GB2312" w:hAnsi="仿宋_GB2312" w:eastAsia="仿宋_GB2312" w:cs="仿宋_GB2312"/>
          <w:color w:val="auto"/>
          <w:kern w:val="2"/>
          <w:sz w:val="32"/>
          <w:szCs w:val="21"/>
          <w:u w:val="none"/>
          <w:lang w:val="en-US" w:eastAsia="zh-CN" w:bidi="ar-SA"/>
        </w:rPr>
        <w:t>深化</w:t>
      </w:r>
      <w:r>
        <w:rPr>
          <w:rFonts w:hint="eastAsia" w:ascii="仿宋_GB2312" w:hAnsi="仿宋_GB2312" w:eastAsia="仿宋_GB2312" w:cs="仿宋_GB2312"/>
          <w:color w:val="auto"/>
          <w:kern w:val="2"/>
          <w:sz w:val="32"/>
          <w:szCs w:val="21"/>
          <w:u w:val="none"/>
          <w:lang w:val="en-US" w:eastAsia="zh-CN" w:bidi="ar-SA"/>
        </w:rPr>
        <w:t>对外</w:t>
      </w:r>
      <w:r>
        <w:rPr>
          <w:rFonts w:hint="default" w:ascii="仿宋_GB2312" w:hAnsi="仿宋_GB2312" w:eastAsia="仿宋_GB2312" w:cs="仿宋_GB2312"/>
          <w:color w:val="auto"/>
          <w:kern w:val="2"/>
          <w:sz w:val="32"/>
          <w:szCs w:val="21"/>
          <w:u w:val="none"/>
          <w:lang w:val="en-US" w:eastAsia="zh-CN" w:bidi="ar-SA"/>
        </w:rPr>
        <w:t>合作作为拓展发展空间的核心路径，通过校地、政企、区域“三项合作”，整合创新资源、激活市场动能、融入区域发展大局，为蔬菜产业转型升级注入新活力，推动“</w:t>
      </w:r>
      <w:r>
        <w:rPr>
          <w:rFonts w:hint="eastAsia" w:ascii="仿宋_GB2312" w:hAnsi="仿宋_GB2312" w:eastAsia="仿宋_GB2312" w:cs="仿宋_GB2312"/>
          <w:color w:val="auto"/>
          <w:kern w:val="2"/>
          <w:sz w:val="32"/>
          <w:szCs w:val="21"/>
          <w:u w:val="none"/>
          <w:lang w:val="en-US" w:eastAsia="zh-CN" w:bidi="ar-SA"/>
        </w:rPr>
        <w:t>全生态蔬菜之都</w:t>
      </w:r>
      <w:r>
        <w:rPr>
          <w:rFonts w:hint="default" w:ascii="仿宋_GB2312" w:hAnsi="仿宋_GB2312" w:eastAsia="仿宋_GB2312" w:cs="仿宋_GB2312"/>
          <w:color w:val="auto"/>
          <w:kern w:val="2"/>
          <w:sz w:val="32"/>
          <w:szCs w:val="21"/>
          <w:u w:val="none"/>
          <w:lang w:val="en-US" w:eastAsia="zh-CN" w:bidi="ar-SA"/>
        </w:rPr>
        <w:t>”建设迈向更高水平。</w:t>
      </w:r>
    </w:p>
    <w:p w14:paraId="34CBE092">
      <w:pPr>
        <w:pageBreakBefore w:val="0"/>
        <w:kinsoku/>
        <w:wordWrap/>
        <w:overflowPunct/>
        <w:topLinePunct w:val="0"/>
        <w:autoSpaceDE/>
        <w:bidi w:val="0"/>
        <w:adjustRightInd w:val="0"/>
        <w:snapToGrid w:val="0"/>
        <w:spacing w:line="560" w:lineRule="exact"/>
        <w:ind w:firstLine="643" w:firstLineChars="200"/>
        <w:textAlignment w:val="auto"/>
        <w:rPr>
          <w:rFonts w:hint="default" w:ascii="仿宋_GB2312" w:hAnsi="仿宋_GB2312" w:eastAsia="仿宋_GB2312" w:cs="仿宋_GB2312"/>
          <w:color w:val="auto"/>
          <w:kern w:val="2"/>
          <w:sz w:val="32"/>
          <w:szCs w:val="21"/>
          <w:u w:val="none"/>
          <w:lang w:val="en-US" w:eastAsia="zh-CN" w:bidi="ar-SA"/>
        </w:rPr>
      </w:pPr>
      <w:r>
        <w:rPr>
          <w:rFonts w:hint="default" w:ascii="楷体_GB2312" w:hAnsi="楷体_GB2312" w:eastAsia="楷体_GB2312" w:cs="楷体_GB2312"/>
          <w:b/>
          <w:bCs/>
          <w:color w:val="auto"/>
          <w:kern w:val="2"/>
          <w:sz w:val="32"/>
          <w:szCs w:val="32"/>
          <w:u w:val="none"/>
          <w:lang w:val="en-US" w:eastAsia="zh-CN" w:bidi="ar-SA"/>
        </w:rPr>
        <w:t>校地合作</w:t>
      </w:r>
      <w:r>
        <w:rPr>
          <w:rFonts w:hint="eastAsia" w:ascii="楷体_GB2312" w:hAnsi="楷体_GB2312" w:eastAsia="楷体_GB2312" w:cs="楷体_GB2312"/>
          <w:b/>
          <w:bCs/>
          <w:color w:val="auto"/>
          <w:kern w:val="2"/>
          <w:sz w:val="32"/>
          <w:szCs w:val="32"/>
          <w:u w:val="none"/>
          <w:lang w:val="en-US" w:eastAsia="zh-CN" w:bidi="ar-SA"/>
        </w:rPr>
        <w:t>。</w:t>
      </w:r>
      <w:r>
        <w:rPr>
          <w:rFonts w:hint="default" w:ascii="仿宋_GB2312" w:hAnsi="仿宋_GB2312" w:eastAsia="仿宋_GB2312" w:cs="仿宋_GB2312"/>
          <w:b/>
          <w:bCs/>
          <w:color w:val="auto"/>
          <w:kern w:val="2"/>
          <w:sz w:val="32"/>
          <w:szCs w:val="21"/>
          <w:u w:val="none"/>
          <w:lang w:val="en-US" w:eastAsia="zh-CN" w:bidi="ar-SA"/>
        </w:rPr>
        <w:t>共建研发平台。</w:t>
      </w:r>
      <w:r>
        <w:rPr>
          <w:rFonts w:hint="eastAsia" w:ascii="仿宋_GB2312" w:hAnsi="仿宋_GB2312" w:eastAsia="仿宋_GB2312" w:cs="仿宋_GB2312"/>
          <w:color w:val="auto"/>
          <w:kern w:val="2"/>
          <w:sz w:val="32"/>
          <w:szCs w:val="21"/>
          <w:u w:val="none"/>
          <w:lang w:val="en-US" w:eastAsia="zh-CN" w:bidi="ar-SA"/>
        </w:rPr>
        <w:t>加强</w:t>
      </w:r>
      <w:r>
        <w:rPr>
          <w:rFonts w:hint="default" w:ascii="仿宋_GB2312" w:hAnsi="仿宋_GB2312" w:eastAsia="仿宋_GB2312" w:cs="仿宋_GB2312"/>
          <w:color w:val="auto"/>
          <w:kern w:val="2"/>
          <w:sz w:val="32"/>
          <w:szCs w:val="21"/>
          <w:u w:val="none"/>
          <w:lang w:val="en-US" w:eastAsia="zh-CN" w:bidi="ar-SA"/>
        </w:rPr>
        <w:t>与河南农业大学</w:t>
      </w:r>
      <w:r>
        <w:rPr>
          <w:rFonts w:hint="eastAsia" w:ascii="仿宋_GB2312" w:hAnsi="仿宋_GB2312" w:eastAsia="仿宋_GB2312" w:cs="仿宋_GB2312"/>
          <w:color w:val="auto"/>
          <w:kern w:val="2"/>
          <w:sz w:val="32"/>
          <w:szCs w:val="21"/>
          <w:u w:val="none"/>
          <w:lang w:val="en-US" w:eastAsia="zh-CN" w:bidi="ar-SA"/>
        </w:rPr>
        <w:t>合作，在</w:t>
      </w:r>
      <w:r>
        <w:rPr>
          <w:rFonts w:hint="default" w:ascii="仿宋_GB2312" w:hAnsi="仿宋_GB2312" w:eastAsia="仿宋_GB2312" w:cs="仿宋_GB2312"/>
          <w:color w:val="auto"/>
          <w:kern w:val="2"/>
          <w:sz w:val="32"/>
          <w:szCs w:val="21"/>
          <w:u w:val="none"/>
          <w:lang w:val="en-US" w:eastAsia="zh-CN" w:bidi="ar-SA"/>
        </w:rPr>
        <w:t>“扶沟蔬菜研究院”设立院士工作站、博士后科研工作站，开展种苗培育、绿色种植、精深加工等领域研究，每年开展20项以上科研项目，转化科研成果10项以上。</w:t>
      </w:r>
      <w:r>
        <w:rPr>
          <w:rFonts w:hint="eastAsia" w:ascii="仿宋_GB2312" w:hAnsi="仿宋_GB2312" w:eastAsia="仿宋_GB2312" w:cs="仿宋_GB2312"/>
          <w:b/>
          <w:bCs/>
          <w:color w:val="auto"/>
          <w:kern w:val="2"/>
          <w:sz w:val="32"/>
          <w:szCs w:val="21"/>
          <w:u w:val="none"/>
          <w:lang w:val="en-US" w:eastAsia="zh-CN" w:bidi="ar-SA"/>
        </w:rPr>
        <w:t>加强</w:t>
      </w:r>
      <w:r>
        <w:rPr>
          <w:rFonts w:hint="default" w:ascii="仿宋_GB2312" w:hAnsi="仿宋_GB2312" w:eastAsia="仿宋_GB2312" w:cs="仿宋_GB2312"/>
          <w:b/>
          <w:bCs/>
          <w:color w:val="auto"/>
          <w:kern w:val="2"/>
          <w:sz w:val="32"/>
          <w:szCs w:val="21"/>
          <w:u w:val="none"/>
          <w:lang w:val="en-US" w:eastAsia="zh-CN" w:bidi="ar-SA"/>
        </w:rPr>
        <w:t>人才培养。</w:t>
      </w:r>
      <w:r>
        <w:rPr>
          <w:rFonts w:hint="eastAsia" w:ascii="仿宋_GB2312" w:hAnsi="仿宋_GB2312" w:eastAsia="仿宋_GB2312" w:cs="仿宋_GB2312"/>
          <w:color w:val="auto"/>
          <w:kern w:val="2"/>
          <w:sz w:val="32"/>
          <w:szCs w:val="21"/>
          <w:u w:val="none"/>
          <w:lang w:val="en-US" w:eastAsia="zh-CN" w:bidi="ar-SA"/>
        </w:rPr>
        <w:t>与河南农大、中原农谷、周口职业技术学院、周口市农业技术推广中心、国家大宗蔬菜体系专家服务团队等联合，开展实用技术推广和培训，</w:t>
      </w:r>
      <w:r>
        <w:rPr>
          <w:rFonts w:hint="default" w:ascii="仿宋_GB2312" w:hAnsi="仿宋_GB2312" w:eastAsia="仿宋_GB2312" w:cs="仿宋_GB2312"/>
          <w:color w:val="auto"/>
          <w:kern w:val="2"/>
          <w:sz w:val="32"/>
          <w:szCs w:val="21"/>
          <w:u w:val="none"/>
          <w:lang w:val="en-US" w:eastAsia="zh-CN" w:bidi="ar-SA"/>
        </w:rPr>
        <w:t>邀请专家定期来扶沟开展培训，每年培训</w:t>
      </w:r>
      <w:r>
        <w:rPr>
          <w:rFonts w:hint="eastAsia" w:ascii="仿宋_GB2312" w:hAnsi="仿宋_GB2312" w:eastAsia="仿宋_GB2312" w:cs="仿宋_GB2312"/>
          <w:color w:val="auto"/>
          <w:kern w:val="2"/>
          <w:sz w:val="32"/>
          <w:szCs w:val="21"/>
          <w:u w:val="none"/>
          <w:lang w:val="en-US" w:eastAsia="zh-CN" w:bidi="ar-SA"/>
        </w:rPr>
        <w:t>蔬菜从业人员</w:t>
      </w:r>
      <w:r>
        <w:rPr>
          <w:rFonts w:hint="default" w:ascii="仿宋_GB2312" w:hAnsi="仿宋_GB2312" w:eastAsia="仿宋_GB2312" w:cs="仿宋_GB2312"/>
          <w:color w:val="auto"/>
          <w:kern w:val="2"/>
          <w:sz w:val="32"/>
          <w:szCs w:val="21"/>
          <w:u w:val="none"/>
          <w:lang w:val="en-US" w:eastAsia="zh-CN" w:bidi="ar-SA"/>
        </w:rPr>
        <w:t>1000人次，提升产业人才素质。</w:t>
      </w:r>
      <w:r>
        <w:rPr>
          <w:rFonts w:hint="default" w:ascii="仿宋_GB2312" w:hAnsi="仿宋_GB2312" w:eastAsia="仿宋_GB2312" w:cs="仿宋_GB2312"/>
          <w:b/>
          <w:bCs/>
          <w:color w:val="auto"/>
          <w:kern w:val="2"/>
          <w:sz w:val="32"/>
          <w:szCs w:val="21"/>
          <w:u w:val="none"/>
          <w:lang w:val="en-US" w:eastAsia="zh-CN" w:bidi="ar-SA"/>
        </w:rPr>
        <w:t>开展技术攻关。</w:t>
      </w:r>
      <w:r>
        <w:rPr>
          <w:rFonts w:hint="default" w:ascii="仿宋_GB2312" w:hAnsi="仿宋_GB2312" w:eastAsia="仿宋_GB2312" w:cs="仿宋_GB2312"/>
          <w:color w:val="auto"/>
          <w:kern w:val="2"/>
          <w:sz w:val="32"/>
          <w:szCs w:val="21"/>
          <w:u w:val="none"/>
          <w:lang w:val="en-US" w:eastAsia="zh-CN" w:bidi="ar-SA"/>
        </w:rPr>
        <w:t>针对蔬菜产业痛点，与高校联合技术攻关，如抗病种苗培育、低碳加工技术、智能种植装备等，每年</w:t>
      </w:r>
      <w:r>
        <w:rPr>
          <w:rFonts w:hint="eastAsia" w:ascii="仿宋_GB2312" w:hAnsi="仿宋_GB2312" w:eastAsia="仿宋_GB2312" w:cs="仿宋_GB2312"/>
          <w:color w:val="auto"/>
          <w:kern w:val="2"/>
          <w:sz w:val="32"/>
          <w:szCs w:val="21"/>
          <w:u w:val="none"/>
          <w:lang w:val="en-US" w:eastAsia="zh-CN" w:bidi="ar-SA"/>
        </w:rPr>
        <w:t>推广</w:t>
      </w:r>
      <w:r>
        <w:rPr>
          <w:rFonts w:hint="default" w:ascii="仿宋_GB2312" w:hAnsi="仿宋_GB2312" w:eastAsia="仿宋_GB2312" w:cs="仿宋_GB2312"/>
          <w:color w:val="auto"/>
          <w:kern w:val="2"/>
          <w:sz w:val="32"/>
          <w:szCs w:val="21"/>
          <w:u w:val="none"/>
          <w:lang w:val="en-US" w:eastAsia="zh-CN" w:bidi="ar-SA"/>
        </w:rPr>
        <w:t>5项以上技术，解决产业发展难题；建立技术推广机制，将高校科研成果优先在扶沟推广应用，提升产业科技含量。</w:t>
      </w:r>
    </w:p>
    <w:p w14:paraId="0665C17C">
      <w:pPr>
        <w:pageBreakBefore w:val="0"/>
        <w:kinsoku/>
        <w:wordWrap/>
        <w:overflowPunct/>
        <w:topLinePunct w:val="0"/>
        <w:autoSpaceDE/>
        <w:bidi w:val="0"/>
        <w:adjustRightInd w:val="0"/>
        <w:snapToGrid w:val="0"/>
        <w:spacing w:line="560" w:lineRule="exact"/>
        <w:ind w:firstLine="643" w:firstLineChars="200"/>
        <w:textAlignment w:val="auto"/>
        <w:rPr>
          <w:rFonts w:hint="default" w:ascii="仿宋_GB2312" w:hAnsi="仿宋_GB2312" w:eastAsia="仿宋_GB2312" w:cs="仿宋_GB2312"/>
          <w:color w:val="auto"/>
          <w:kern w:val="2"/>
          <w:sz w:val="32"/>
          <w:szCs w:val="21"/>
          <w:u w:val="none"/>
          <w:lang w:val="en-US" w:eastAsia="zh-CN" w:bidi="ar-SA"/>
        </w:rPr>
      </w:pPr>
      <w:r>
        <w:rPr>
          <w:rFonts w:hint="default" w:ascii="楷体_GB2312" w:hAnsi="楷体_GB2312" w:eastAsia="楷体_GB2312" w:cs="楷体_GB2312"/>
          <w:b/>
          <w:bCs/>
          <w:color w:val="auto"/>
          <w:kern w:val="2"/>
          <w:sz w:val="32"/>
          <w:szCs w:val="32"/>
          <w:u w:val="none"/>
          <w:lang w:val="en-US" w:eastAsia="zh-CN" w:bidi="ar-SA"/>
        </w:rPr>
        <w:t>政企合作</w:t>
      </w:r>
      <w:r>
        <w:rPr>
          <w:rFonts w:hint="eastAsia" w:ascii="楷体_GB2312" w:hAnsi="楷体_GB2312" w:eastAsia="楷体_GB2312" w:cs="楷体_GB2312"/>
          <w:b/>
          <w:bCs/>
          <w:color w:val="auto"/>
          <w:kern w:val="2"/>
          <w:sz w:val="32"/>
          <w:szCs w:val="32"/>
          <w:u w:val="none"/>
          <w:lang w:val="en-US" w:eastAsia="zh-CN" w:bidi="ar-SA"/>
        </w:rPr>
        <w:t>。</w:t>
      </w:r>
      <w:r>
        <w:rPr>
          <w:rFonts w:hint="default" w:ascii="仿宋_GB2312" w:hAnsi="仿宋_GB2312" w:eastAsia="仿宋_GB2312" w:cs="仿宋_GB2312"/>
          <w:b/>
          <w:bCs/>
          <w:color w:val="auto"/>
          <w:kern w:val="2"/>
          <w:sz w:val="32"/>
          <w:szCs w:val="21"/>
          <w:u w:val="none"/>
          <w:lang w:val="en-US" w:eastAsia="zh-CN" w:bidi="ar-SA"/>
        </w:rPr>
        <w:t>引进龙头企业。</w:t>
      </w:r>
      <w:r>
        <w:rPr>
          <w:rFonts w:hint="default" w:ascii="仿宋_GB2312" w:hAnsi="仿宋_GB2312" w:eastAsia="仿宋_GB2312" w:cs="仿宋_GB2312"/>
          <w:color w:val="auto"/>
          <w:kern w:val="2"/>
          <w:sz w:val="32"/>
          <w:szCs w:val="21"/>
          <w:u w:val="none"/>
          <w:lang w:val="en-US" w:eastAsia="zh-CN" w:bidi="ar-SA"/>
        </w:rPr>
        <w:t>重点对接京东、中粮等行业领军企业，引进龙头企业入驻，投资建设精深加工项目、冷链物流项目、电商平台项目，带动产业升级。</w:t>
      </w:r>
      <w:r>
        <w:rPr>
          <w:rFonts w:hint="default" w:ascii="仿宋_GB2312" w:hAnsi="仿宋_GB2312" w:eastAsia="仿宋_GB2312" w:cs="仿宋_GB2312"/>
          <w:b/>
          <w:bCs/>
          <w:color w:val="auto"/>
          <w:kern w:val="2"/>
          <w:sz w:val="32"/>
          <w:szCs w:val="21"/>
          <w:u w:val="none"/>
          <w:lang w:val="en-US" w:eastAsia="zh-CN" w:bidi="ar-SA"/>
        </w:rPr>
        <w:t>培育本土企业。</w:t>
      </w:r>
      <w:r>
        <w:rPr>
          <w:rFonts w:hint="default" w:ascii="仿宋_GB2312" w:hAnsi="仿宋_GB2312" w:eastAsia="仿宋_GB2312" w:cs="仿宋_GB2312"/>
          <w:color w:val="auto"/>
          <w:kern w:val="2"/>
          <w:sz w:val="32"/>
          <w:szCs w:val="21"/>
          <w:u w:val="none"/>
          <w:lang w:val="en-US" w:eastAsia="zh-CN" w:bidi="ar-SA"/>
        </w:rPr>
        <w:t>扶持10家本土蔬菜企业发展壮大，通过资金补贴、政策倾斜、市场拓展支持，推动企业从种植向加工、营销延伸，支持本土企业与龙头企业合作，参与产业链分工，提升竞争力。</w:t>
      </w:r>
      <w:r>
        <w:rPr>
          <w:rFonts w:hint="default" w:ascii="仿宋_GB2312" w:hAnsi="仿宋_GB2312" w:eastAsia="仿宋_GB2312" w:cs="仿宋_GB2312"/>
          <w:b/>
          <w:bCs/>
          <w:color w:val="auto"/>
          <w:kern w:val="2"/>
          <w:sz w:val="32"/>
          <w:szCs w:val="21"/>
          <w:u w:val="none"/>
          <w:lang w:val="en-US" w:eastAsia="zh-CN" w:bidi="ar-SA"/>
        </w:rPr>
        <w:t>共建产业生态。</w:t>
      </w:r>
      <w:r>
        <w:rPr>
          <w:rFonts w:hint="default" w:ascii="仿宋_GB2312" w:hAnsi="仿宋_GB2312" w:eastAsia="仿宋_GB2312" w:cs="仿宋_GB2312"/>
          <w:color w:val="auto"/>
          <w:kern w:val="2"/>
          <w:sz w:val="32"/>
          <w:szCs w:val="21"/>
          <w:u w:val="none"/>
          <w:lang w:val="en-US" w:eastAsia="zh-CN" w:bidi="ar-SA"/>
        </w:rPr>
        <w:t>推动企业与种植基地、合作社建立长期合作关系，形成“企业+基地+合作社”稳定供应链；鼓励企业参与制定产业标准，共建质量追溯体系，共同推广“</w:t>
      </w:r>
      <w:r>
        <w:rPr>
          <w:rFonts w:hint="eastAsia" w:ascii="仿宋_GB2312" w:hAnsi="仿宋_GB2312" w:eastAsia="仿宋_GB2312" w:cs="仿宋_GB2312"/>
          <w:color w:val="auto"/>
          <w:kern w:val="2"/>
          <w:sz w:val="32"/>
          <w:szCs w:val="21"/>
          <w:u w:val="none"/>
          <w:lang w:val="en-US" w:eastAsia="zh-CN" w:bidi="ar-SA"/>
        </w:rPr>
        <w:t>扶沟蔬菜</w:t>
      </w:r>
      <w:r>
        <w:rPr>
          <w:rFonts w:hint="default" w:ascii="仿宋_GB2312" w:hAnsi="仿宋_GB2312" w:eastAsia="仿宋_GB2312" w:cs="仿宋_GB2312"/>
          <w:color w:val="auto"/>
          <w:kern w:val="2"/>
          <w:sz w:val="32"/>
          <w:szCs w:val="21"/>
          <w:u w:val="none"/>
          <w:lang w:val="en-US" w:eastAsia="zh-CN" w:bidi="ar-SA"/>
        </w:rPr>
        <w:t>”品牌，构建“风险共担、利益共享”的产业生态。</w:t>
      </w:r>
    </w:p>
    <w:p w14:paraId="1C9F2F50">
      <w:pPr>
        <w:keepNext w:val="0"/>
        <w:keepLines w:val="0"/>
        <w:pageBreakBefore w:val="0"/>
        <w:widowControl w:val="0"/>
        <w:kinsoku/>
        <w:wordWrap/>
        <w:overflowPunct/>
        <w:topLinePunct w:val="0"/>
        <w:autoSpaceDE/>
        <w:autoSpaceDN/>
        <w:bidi w:val="0"/>
        <w:adjustRightInd w:val="0"/>
        <w:snapToGrid w:val="0"/>
        <w:spacing w:after="721" w:afterLines="200" w:line="560" w:lineRule="exact"/>
        <w:ind w:firstLine="643" w:firstLineChars="200"/>
        <w:textAlignment w:val="auto"/>
        <w:rPr>
          <w:rFonts w:hint="eastAsia" w:ascii="仿宋_GB2312" w:hAnsi="仿宋_GB2312" w:eastAsia="仿宋_GB2312" w:cs="仿宋_GB2312"/>
          <w:color w:val="auto"/>
          <w:kern w:val="2"/>
          <w:sz w:val="32"/>
          <w:szCs w:val="21"/>
          <w:u w:val="none"/>
          <w:lang w:val="en-US" w:eastAsia="zh-CN" w:bidi="ar-SA"/>
        </w:rPr>
      </w:pPr>
      <w:r>
        <w:rPr>
          <w:rFonts w:hint="default" w:ascii="楷体_GB2312" w:hAnsi="楷体_GB2312" w:eastAsia="楷体_GB2312" w:cs="楷体_GB2312"/>
          <w:b/>
          <w:bCs/>
          <w:color w:val="auto"/>
          <w:kern w:val="2"/>
          <w:sz w:val="32"/>
          <w:szCs w:val="32"/>
          <w:u w:val="none"/>
          <w:lang w:val="en-US" w:eastAsia="zh-CN" w:bidi="ar-SA"/>
        </w:rPr>
        <w:t>区域合作</w:t>
      </w:r>
      <w:r>
        <w:rPr>
          <w:rFonts w:hint="eastAsia" w:ascii="楷体_GB2312" w:hAnsi="楷体_GB2312" w:eastAsia="楷体_GB2312" w:cs="楷体_GB2312"/>
          <w:b/>
          <w:bCs/>
          <w:color w:val="auto"/>
          <w:kern w:val="2"/>
          <w:sz w:val="32"/>
          <w:szCs w:val="32"/>
          <w:u w:val="none"/>
          <w:lang w:val="en-US" w:eastAsia="zh-CN" w:bidi="ar-SA"/>
        </w:rPr>
        <w:t>。</w:t>
      </w:r>
      <w:r>
        <w:rPr>
          <w:rFonts w:hint="default" w:ascii="仿宋_GB2312" w:hAnsi="仿宋_GB2312" w:eastAsia="仿宋_GB2312" w:cs="仿宋_GB2312"/>
          <w:b/>
          <w:bCs/>
          <w:color w:val="auto"/>
          <w:kern w:val="2"/>
          <w:sz w:val="32"/>
          <w:szCs w:val="21"/>
          <w:u w:val="none"/>
          <w:lang w:val="en-US" w:eastAsia="zh-CN" w:bidi="ar-SA"/>
        </w:rPr>
        <w:t>融入郑州都市圈。</w:t>
      </w:r>
      <w:r>
        <w:rPr>
          <w:rFonts w:hint="default" w:ascii="仿宋_GB2312" w:hAnsi="仿宋_GB2312" w:eastAsia="仿宋_GB2312" w:cs="仿宋_GB2312"/>
          <w:color w:val="auto"/>
          <w:kern w:val="2"/>
          <w:sz w:val="32"/>
          <w:szCs w:val="21"/>
          <w:u w:val="none"/>
          <w:lang w:val="en-US" w:eastAsia="zh-CN" w:bidi="ar-SA"/>
        </w:rPr>
        <w:t>对接郑州航空港、郑州万邦农产品市场，建设“扶沟蔬菜”直供基地，开通直达郑州的冷链专线，实现蔬菜2小时内送达；承接郑州食品加工产业转移，引进食品加工企业，发展预制菜、休闲食品等产业，打造郑州都市圈“菜篮子”“米袋子”。</w:t>
      </w:r>
      <w:r>
        <w:rPr>
          <w:rFonts w:hint="default" w:ascii="仿宋_GB2312" w:hAnsi="仿宋_GB2312" w:eastAsia="仿宋_GB2312" w:cs="仿宋_GB2312"/>
          <w:b/>
          <w:bCs/>
          <w:color w:val="auto"/>
          <w:kern w:val="2"/>
          <w:sz w:val="32"/>
          <w:szCs w:val="21"/>
          <w:u w:val="none"/>
          <w:lang w:val="en-US" w:eastAsia="zh-CN" w:bidi="ar-SA"/>
        </w:rPr>
        <w:t>对接长三角、珠三角。</w:t>
      </w:r>
      <w:r>
        <w:rPr>
          <w:rFonts w:hint="default" w:ascii="仿宋_GB2312" w:hAnsi="仿宋_GB2312" w:eastAsia="仿宋_GB2312" w:cs="仿宋_GB2312"/>
          <w:color w:val="auto"/>
          <w:kern w:val="2"/>
          <w:sz w:val="32"/>
          <w:szCs w:val="21"/>
          <w:u w:val="none"/>
          <w:lang w:val="en-US" w:eastAsia="zh-CN" w:bidi="ar-SA"/>
        </w:rPr>
        <w:t>与上海江桥、广州江南等大型农产品市场建立合作关系，设立“扶沟蔬菜”销售</w:t>
      </w:r>
      <w:r>
        <w:rPr>
          <w:rFonts w:hint="eastAsia" w:ascii="仿宋_GB2312" w:hAnsi="仿宋_GB2312" w:eastAsia="仿宋_GB2312" w:cs="仿宋_GB2312"/>
          <w:color w:val="auto"/>
          <w:kern w:val="2"/>
          <w:sz w:val="32"/>
          <w:szCs w:val="21"/>
          <w:u w:val="none"/>
          <w:lang w:val="en-US" w:eastAsia="zh-CN" w:bidi="ar-SA"/>
        </w:rPr>
        <w:t>档口</w:t>
      </w:r>
      <w:r>
        <w:rPr>
          <w:rFonts w:hint="default" w:ascii="仿宋_GB2312" w:hAnsi="仿宋_GB2312" w:eastAsia="仿宋_GB2312" w:cs="仿宋_GB2312"/>
          <w:color w:val="auto"/>
          <w:kern w:val="2"/>
          <w:sz w:val="32"/>
          <w:szCs w:val="21"/>
          <w:u w:val="none"/>
          <w:lang w:val="en-US" w:eastAsia="zh-CN" w:bidi="ar-SA"/>
        </w:rPr>
        <w:t>，建设高端蔬菜种植基地，生产有机蔬菜、功能性蔬菜，满足高端市场需求；与电商平台合作，开展“扶沟蔬菜”线上促销活动，提升市场占有率。</w:t>
      </w:r>
      <w:r>
        <w:rPr>
          <w:rFonts w:hint="default" w:ascii="仿宋_GB2312" w:hAnsi="仿宋_GB2312" w:eastAsia="仿宋_GB2312" w:cs="仿宋_GB2312"/>
          <w:b/>
          <w:bCs/>
          <w:color w:val="auto"/>
          <w:kern w:val="2"/>
          <w:sz w:val="32"/>
          <w:szCs w:val="21"/>
          <w:u w:val="none"/>
          <w:lang w:val="en-US" w:eastAsia="zh-CN" w:bidi="ar-SA"/>
        </w:rPr>
        <w:t>加强与周边县域协作。</w:t>
      </w:r>
      <w:r>
        <w:rPr>
          <w:rFonts w:hint="default" w:ascii="仿宋_GB2312" w:hAnsi="仿宋_GB2312" w:eastAsia="仿宋_GB2312" w:cs="仿宋_GB2312"/>
          <w:color w:val="auto"/>
          <w:kern w:val="2"/>
          <w:sz w:val="32"/>
          <w:szCs w:val="21"/>
          <w:u w:val="none"/>
          <w:lang w:val="en-US" w:eastAsia="zh-CN" w:bidi="ar-SA"/>
        </w:rPr>
        <w:t>与鄢陵、西华等周边县域合作，打造“蔬菜+花卉”“蔬菜+食品”旅游圈，共享旅游资源与客源；建立产业协同机制，在种苗、技术、市场等方面开展合作，避免同质化竞争，形成区域产业合力，共同提升豫东蔬菜产业影响力</w:t>
      </w:r>
      <w:r>
        <w:rPr>
          <w:rFonts w:hint="eastAsia" w:ascii="仿宋_GB2312" w:hAnsi="仿宋_GB2312" w:eastAsia="仿宋_GB2312" w:cs="仿宋_GB2312"/>
          <w:color w:val="auto"/>
          <w:kern w:val="2"/>
          <w:sz w:val="32"/>
          <w:szCs w:val="21"/>
          <w:u w:val="none"/>
          <w:lang w:val="en-US" w:eastAsia="zh-CN" w:bidi="ar-SA"/>
        </w:rPr>
        <w:t>。</w:t>
      </w:r>
    </w:p>
    <w:tbl>
      <w:tblPr>
        <w:tblStyle w:val="2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74"/>
      </w:tblGrid>
      <w:tr w14:paraId="46E6B7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jc w:val="center"/>
        </w:trPr>
        <w:tc>
          <w:tcPr>
            <w:tcW w:w="8674" w:type="dxa"/>
            <w:noWrap w:val="0"/>
            <w:vAlign w:val="center"/>
          </w:tcPr>
          <w:p w14:paraId="4C6EAA01">
            <w:pPr>
              <w:keepNext w:val="0"/>
              <w:keepLines w:val="0"/>
              <w:pageBreakBefore w:val="0"/>
              <w:widowControl w:val="0"/>
              <w:suppressLineNumbers w:val="0"/>
              <w:kinsoku/>
              <w:wordWrap/>
              <w:overflowPunct/>
              <w:topLinePunct w:val="0"/>
              <w:autoSpaceDE/>
              <w:autoSpaceDN/>
              <w:bidi w:val="0"/>
              <w:adjustRightInd w:val="0"/>
              <w:snapToGrid w:val="0"/>
              <w:spacing w:beforeAutospacing="0" w:afterAutospacing="0" w:line="400" w:lineRule="exact"/>
              <w:ind w:left="0" w:right="0" w:firstLine="0" w:firstLineChars="0"/>
              <w:jc w:val="center"/>
              <w:textAlignment w:val="auto"/>
              <w:rPr>
                <w:rFonts w:hint="default" w:ascii="Times New Roman" w:hAnsi="Times New Roman" w:eastAsia="仿宋" w:cs="Times New Roman"/>
                <w:color w:val="auto"/>
                <w:sz w:val="28"/>
                <w:szCs w:val="28"/>
                <w:highlight w:val="none"/>
                <w:u w:val="none"/>
                <w:shd w:val="clear" w:color="auto" w:fill="FFFFFF"/>
              </w:rPr>
            </w:pPr>
            <w:r>
              <w:rPr>
                <w:rFonts w:hint="eastAsia" w:ascii="楷体_GB2312" w:hAnsi="楷体_GB2312" w:eastAsia="楷体_GB2312" w:cs="楷体_GB2312"/>
                <w:b/>
                <w:bCs w:val="0"/>
                <w:color w:val="auto"/>
                <w:sz w:val="28"/>
                <w:szCs w:val="28"/>
                <w:highlight w:val="none"/>
                <w:u w:val="none"/>
                <w:shd w:val="clear" w:color="auto" w:fill="FFFFFF"/>
              </w:rPr>
              <w:t>专栏</w:t>
            </w:r>
            <w:r>
              <w:rPr>
                <w:rFonts w:hint="eastAsia" w:ascii="楷体_GB2312" w:hAnsi="楷体_GB2312" w:eastAsia="楷体_GB2312" w:cs="楷体_GB2312"/>
                <w:b/>
                <w:bCs w:val="0"/>
                <w:color w:val="auto"/>
                <w:sz w:val="28"/>
                <w:szCs w:val="28"/>
                <w:highlight w:val="none"/>
                <w:u w:val="none"/>
                <w:shd w:val="clear" w:color="auto" w:fill="FFFFFF"/>
                <w:lang w:val="en-US" w:eastAsia="zh-CN"/>
              </w:rPr>
              <w:t>6-1</w:t>
            </w:r>
            <w:r>
              <w:rPr>
                <w:rFonts w:hint="eastAsia" w:ascii="楷体_GB2312" w:hAnsi="楷体_GB2312" w:eastAsia="楷体_GB2312" w:cs="楷体_GB2312"/>
                <w:b/>
                <w:bCs w:val="0"/>
                <w:color w:val="auto"/>
                <w:sz w:val="28"/>
                <w:szCs w:val="28"/>
                <w:highlight w:val="none"/>
                <w:u w:val="none"/>
                <w:shd w:val="clear" w:color="auto" w:fill="FFFFFF"/>
              </w:rPr>
              <w:t>：“十</w:t>
            </w:r>
            <w:r>
              <w:rPr>
                <w:rFonts w:hint="eastAsia" w:ascii="楷体_GB2312" w:hAnsi="楷体_GB2312" w:eastAsia="楷体_GB2312" w:cs="楷体_GB2312"/>
                <w:b/>
                <w:bCs w:val="0"/>
                <w:color w:val="auto"/>
                <w:sz w:val="28"/>
                <w:szCs w:val="28"/>
                <w:highlight w:val="none"/>
                <w:u w:val="none"/>
                <w:shd w:val="clear" w:color="auto" w:fill="FFFFFF"/>
                <w:lang w:val="en-US" w:eastAsia="zh-CN"/>
              </w:rPr>
              <w:t>五</w:t>
            </w:r>
            <w:r>
              <w:rPr>
                <w:rFonts w:hint="eastAsia" w:ascii="楷体_GB2312" w:hAnsi="楷体_GB2312" w:eastAsia="楷体_GB2312" w:cs="楷体_GB2312"/>
                <w:b/>
                <w:bCs w:val="0"/>
                <w:color w:val="auto"/>
                <w:sz w:val="28"/>
                <w:szCs w:val="28"/>
                <w:highlight w:val="none"/>
                <w:u w:val="none"/>
                <w:shd w:val="clear" w:color="auto" w:fill="FFFFFF"/>
              </w:rPr>
              <w:t>五”</w:t>
            </w:r>
            <w:r>
              <w:rPr>
                <w:rFonts w:hint="eastAsia" w:ascii="楷体_GB2312" w:hAnsi="楷体_GB2312" w:eastAsia="楷体_GB2312" w:cs="楷体_GB2312"/>
                <w:b/>
                <w:bCs w:val="0"/>
                <w:color w:val="auto"/>
                <w:sz w:val="28"/>
                <w:szCs w:val="28"/>
                <w:highlight w:val="none"/>
                <w:u w:val="none"/>
                <w:shd w:val="clear" w:color="auto" w:fill="FFFFFF"/>
                <w:lang w:val="en-US" w:eastAsia="zh-CN"/>
              </w:rPr>
              <w:t>期间蔬菜</w:t>
            </w:r>
            <w:r>
              <w:rPr>
                <w:rFonts w:hint="default" w:ascii="楷体_GB2312" w:hAnsi="楷体_GB2312" w:eastAsia="楷体_GB2312" w:cs="楷体_GB2312"/>
                <w:b/>
                <w:bCs w:val="0"/>
                <w:color w:val="auto"/>
                <w:sz w:val="28"/>
                <w:szCs w:val="28"/>
                <w:highlight w:val="none"/>
                <w:u w:val="none"/>
                <w:shd w:val="clear" w:color="auto" w:fill="FFFFFF"/>
                <w:lang w:val="en-US" w:eastAsia="zh-CN"/>
              </w:rPr>
              <w:t>产业</w:t>
            </w:r>
            <w:r>
              <w:rPr>
                <w:rFonts w:hint="eastAsia" w:ascii="楷体_GB2312" w:hAnsi="楷体_GB2312" w:eastAsia="楷体_GB2312" w:cs="楷体_GB2312"/>
                <w:b/>
                <w:bCs w:val="0"/>
                <w:color w:val="auto"/>
                <w:sz w:val="28"/>
                <w:szCs w:val="28"/>
                <w:highlight w:val="none"/>
                <w:u w:val="none"/>
                <w:shd w:val="clear" w:color="auto" w:fill="FFFFFF"/>
              </w:rPr>
              <w:t>重点项目</w:t>
            </w:r>
          </w:p>
        </w:tc>
      </w:tr>
      <w:tr w14:paraId="312099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jc w:val="center"/>
        </w:trPr>
        <w:tc>
          <w:tcPr>
            <w:tcW w:w="8674" w:type="dxa"/>
            <w:noWrap w:val="0"/>
            <w:vAlign w:val="center"/>
          </w:tcPr>
          <w:p w14:paraId="1A613E6B">
            <w:pPr>
              <w:keepNext w:val="0"/>
              <w:keepLines w:val="0"/>
              <w:pageBreakBefore w:val="0"/>
              <w:widowControl w:val="0"/>
              <w:suppressLineNumbers w:val="0"/>
              <w:kinsoku/>
              <w:wordWrap/>
              <w:overflowPunct/>
              <w:topLinePunct w:val="0"/>
              <w:autoSpaceDE/>
              <w:autoSpaceDN/>
              <w:bidi w:val="0"/>
              <w:adjustRightInd w:val="0"/>
              <w:snapToGrid w:val="0"/>
              <w:spacing w:beforeAutospacing="0" w:afterAutospacing="0" w:line="400" w:lineRule="exact"/>
              <w:ind w:left="0" w:right="0" w:firstLine="562" w:firstLineChars="200"/>
              <w:jc w:val="both"/>
              <w:textAlignment w:val="auto"/>
              <w:rPr>
                <w:rFonts w:hint="eastAsia"/>
                <w:lang w:val="en-US" w:eastAsia="zh-CN"/>
              </w:rPr>
            </w:pPr>
            <w:r>
              <w:rPr>
                <w:rFonts w:hint="eastAsia" w:ascii="Times New Roman" w:hAnsi="Times New Roman" w:eastAsia="仿宋_GB2312" w:cs="Times New Roman"/>
                <w:b/>
                <w:bCs/>
                <w:color w:val="auto"/>
                <w:kern w:val="2"/>
                <w:sz w:val="28"/>
                <w:szCs w:val="28"/>
                <w:highlight w:val="none"/>
                <w:u w:val="none"/>
                <w:lang w:val="en-US" w:eastAsia="zh-CN" w:bidi="ar-SA"/>
              </w:rPr>
              <w:t>重点实施</w:t>
            </w:r>
            <w:r>
              <w:rPr>
                <w:rFonts w:hint="eastAsia" w:ascii="Times New Roman" w:hAnsi="Times New Roman" w:eastAsia="仿宋_GB2312" w:cs="Times New Roman"/>
                <w:b w:val="0"/>
                <w:bCs w:val="0"/>
                <w:color w:val="auto"/>
                <w:kern w:val="2"/>
                <w:sz w:val="28"/>
                <w:szCs w:val="28"/>
                <w:highlight w:val="none"/>
                <w:u w:val="none"/>
                <w:lang w:val="en-US" w:eastAsia="zh-CN" w:bidi="ar-SA"/>
              </w:rPr>
              <w:t>扶沟县现代化蔬菜种植基地建设项目（一期）、扶沟县全时低碳智慧农业植物工厂一期建设项目、扶沟县高标准设施种植园区建设项目、扶沟县蔬菜精深加工产业园建设项目、扶沟县蔬菜产业技术研究院建设项目、扶沟县蔬菜产业大数据中心建设项目、扶沟县地理产品数字化溯源平台建设项目、中原冷链物流枢纽扩建项目。</w:t>
            </w:r>
          </w:p>
        </w:tc>
      </w:tr>
    </w:tbl>
    <w:p w14:paraId="7BC07489">
      <w:pPr>
        <w:keepNext/>
        <w:keepLines/>
        <w:pageBreakBefore w:val="0"/>
        <w:widowControl w:val="0"/>
        <w:numPr>
          <w:ilvl w:val="0"/>
          <w:numId w:val="0"/>
        </w:numPr>
        <w:kinsoku/>
        <w:wordWrap/>
        <w:overflowPunct/>
        <w:topLinePunct w:val="0"/>
        <w:autoSpaceDE/>
        <w:autoSpaceDN/>
        <w:bidi w:val="0"/>
        <w:adjustRightInd w:val="0"/>
        <w:snapToGrid w:val="0"/>
        <w:spacing w:before="901" w:beforeLines="250" w:after="439" w:afterLines="100" w:line="560" w:lineRule="exact"/>
        <w:ind w:leftChars="0"/>
        <w:jc w:val="left"/>
        <w:textAlignment w:val="auto"/>
        <w:outlineLvl w:val="0"/>
        <w:rPr>
          <w:rFonts w:hint="default" w:ascii="Times New Roman" w:hAnsi="Times New Roman" w:eastAsia="方正小标宋_GBK" w:cs="Times New Roman"/>
          <w:b/>
          <w:color w:val="auto"/>
          <w:kern w:val="2"/>
          <w:sz w:val="36"/>
          <w:szCs w:val="36"/>
          <w:highlight w:val="none"/>
          <w:u w:val="none"/>
          <w:lang w:val="en-US" w:eastAsia="zh-CN" w:bidi="ar-SA"/>
        </w:rPr>
      </w:pPr>
      <w:bookmarkStart w:id="158" w:name="_Toc6611"/>
      <w:bookmarkStart w:id="159" w:name="_Toc14985"/>
      <w:r>
        <w:rPr>
          <w:rFonts w:hint="eastAsia" w:ascii="Times New Roman" w:hAnsi="Times New Roman" w:eastAsia="方正小标宋_GBK" w:cs="Times New Roman"/>
          <w:b/>
          <w:color w:val="auto"/>
          <w:kern w:val="2"/>
          <w:sz w:val="36"/>
          <w:szCs w:val="36"/>
          <w:highlight w:val="none"/>
          <w:u w:val="none"/>
          <w:lang w:val="en-US" w:eastAsia="zh-CN" w:bidi="ar-SA"/>
        </w:rPr>
        <w:t>板块三：城市规划建设管理</w:t>
      </w:r>
      <w:bookmarkEnd w:id="158"/>
      <w:bookmarkEnd w:id="159"/>
    </w:p>
    <w:p w14:paraId="2DDCE72C">
      <w:pPr>
        <w:keepNext/>
        <w:keepLines/>
        <w:pageBreakBefore w:val="0"/>
        <w:widowControl w:val="0"/>
        <w:numPr>
          <w:ilvl w:val="0"/>
          <w:numId w:val="0"/>
        </w:numPr>
        <w:kinsoku/>
        <w:wordWrap/>
        <w:overflowPunct/>
        <w:topLinePunct w:val="0"/>
        <w:autoSpaceDE/>
        <w:autoSpaceDN/>
        <w:bidi w:val="0"/>
        <w:adjustRightInd w:val="0"/>
        <w:snapToGrid w:val="0"/>
        <w:spacing w:before="541" w:beforeLines="150" w:after="439" w:afterLines="100" w:line="560" w:lineRule="exact"/>
        <w:ind w:leftChars="0"/>
        <w:jc w:val="center"/>
        <w:textAlignment w:val="auto"/>
        <w:outlineLvl w:val="1"/>
        <w:rPr>
          <w:rFonts w:hint="default" w:ascii="Times New Roman" w:hAnsi="Times New Roman" w:eastAsia="方正小标宋_GBK" w:cs="Times New Roman"/>
          <w:b/>
          <w:color w:val="auto"/>
          <w:kern w:val="2"/>
          <w:sz w:val="36"/>
          <w:szCs w:val="36"/>
          <w:highlight w:val="none"/>
          <w:u w:val="none"/>
          <w:lang w:val="en-US" w:eastAsia="zh-CN" w:bidi="ar-SA"/>
        </w:rPr>
      </w:pPr>
      <w:bookmarkStart w:id="160" w:name="_Toc1670"/>
      <w:bookmarkStart w:id="161" w:name="_Toc23850"/>
      <w:r>
        <w:rPr>
          <w:rFonts w:hint="eastAsia" w:ascii="Times New Roman" w:hAnsi="Times New Roman" w:eastAsia="方正小标宋_GBK" w:cs="Times New Roman"/>
          <w:b/>
          <w:color w:val="auto"/>
          <w:kern w:val="2"/>
          <w:sz w:val="36"/>
          <w:szCs w:val="36"/>
          <w:highlight w:val="none"/>
          <w:u w:val="none"/>
          <w:lang w:val="en-US" w:eastAsia="zh-CN" w:bidi="ar-SA"/>
        </w:rPr>
        <w:t>第七章聚势城市更新，构建以人为本的</w:t>
      </w:r>
      <w:bookmarkEnd w:id="119"/>
      <w:r>
        <w:rPr>
          <w:rFonts w:hint="eastAsia" w:ascii="Times New Roman" w:hAnsi="Times New Roman" w:eastAsia="方正小标宋_GBK" w:cs="Times New Roman"/>
          <w:b/>
          <w:color w:val="auto"/>
          <w:kern w:val="2"/>
          <w:sz w:val="36"/>
          <w:szCs w:val="36"/>
          <w:highlight w:val="none"/>
          <w:u w:val="none"/>
          <w:lang w:val="en-US" w:eastAsia="zh-CN" w:bidi="ar-SA"/>
        </w:rPr>
        <w:t>新型城镇化</w:t>
      </w:r>
      <w:bookmarkEnd w:id="160"/>
      <w:bookmarkEnd w:id="161"/>
    </w:p>
    <w:p w14:paraId="02CC68C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color w:val="auto"/>
          <w:kern w:val="2"/>
          <w:sz w:val="32"/>
          <w:szCs w:val="32"/>
          <w:highlight w:val="none"/>
          <w:u w:val="none"/>
          <w:lang w:eastAsia="zh-CN" w:bidi="ar"/>
        </w:rPr>
      </w:pPr>
      <w:r>
        <w:rPr>
          <w:rFonts w:hint="eastAsia" w:ascii="Times New Roman" w:hAnsi="Times New Roman" w:eastAsia="仿宋_GB2312" w:cs="Times New Roman"/>
          <w:color w:val="auto"/>
          <w:kern w:val="2"/>
          <w:sz w:val="32"/>
          <w:szCs w:val="32"/>
          <w:highlight w:val="none"/>
          <w:u w:val="none"/>
          <w:lang w:val="en-US" w:eastAsia="zh-CN" w:bidi="ar"/>
        </w:rPr>
        <w:t>深度优化并践行“一核两翼、三心三组团”城镇发展格局，以中央城市工作会议精神为指导，以完善城市功能和产业发展为主线，以闲置资源盘活为抓手，以安全韧性，设施更新为保障，加快编制城市更新规划，谋划城市更新项目，打造宜居宜业、产城融合的现代化人民城市，促进人口与产业集聚发展</w:t>
      </w:r>
      <w:r>
        <w:rPr>
          <w:rFonts w:hint="default" w:ascii="Times New Roman" w:hAnsi="Times New Roman" w:eastAsia="仿宋_GB2312" w:cs="Times New Roman"/>
          <w:color w:val="auto"/>
          <w:kern w:val="2"/>
          <w:sz w:val="32"/>
          <w:szCs w:val="32"/>
          <w:highlight w:val="none"/>
          <w:u w:val="none"/>
          <w:lang w:eastAsia="zh-CN" w:bidi="ar"/>
        </w:rPr>
        <w:t>。</w:t>
      </w:r>
    </w:p>
    <w:p w14:paraId="0419BD30">
      <w:pPr>
        <w:keepNext/>
        <w:keepLines/>
        <w:pageBreakBefore w:val="0"/>
        <w:widowControl w:val="0"/>
        <w:numPr>
          <w:ilvl w:val="0"/>
          <w:numId w:val="0"/>
        </w:numPr>
        <w:kinsoku/>
        <w:wordWrap/>
        <w:overflowPunct/>
        <w:topLinePunct w:val="0"/>
        <w:autoSpaceDE/>
        <w:autoSpaceDN/>
        <w:bidi w:val="0"/>
        <w:adjustRightInd w:val="0"/>
        <w:snapToGrid w:val="0"/>
        <w:spacing w:before="156" w:beforeLines="50" w:after="156" w:afterLines="50" w:line="560" w:lineRule="exact"/>
        <w:ind w:leftChars="0"/>
        <w:jc w:val="center"/>
        <w:textAlignment w:val="auto"/>
        <w:outlineLvl w:val="2"/>
        <w:rPr>
          <w:rFonts w:hint="default" w:ascii="Times New Roman" w:hAnsi="Times New Roman" w:eastAsia="黑体" w:cs="Times New Roman"/>
          <w:b/>
          <w:bCs/>
          <w:color w:val="auto"/>
          <w:kern w:val="2"/>
          <w:sz w:val="32"/>
          <w:szCs w:val="32"/>
          <w:highlight w:val="none"/>
          <w:u w:val="none"/>
          <w:lang w:val="en-US" w:eastAsia="zh-CN" w:bidi="ar-SA"/>
        </w:rPr>
      </w:pPr>
      <w:bookmarkStart w:id="162" w:name="_Toc142"/>
      <w:bookmarkStart w:id="163" w:name="_Toc1848"/>
      <w:bookmarkStart w:id="164" w:name="_Toc6118"/>
      <w:r>
        <w:rPr>
          <w:rFonts w:hint="eastAsia" w:ascii="Times New Roman" w:hAnsi="Times New Roman" w:eastAsia="黑体" w:cs="Times New Roman"/>
          <w:b/>
          <w:bCs/>
          <w:color w:val="auto"/>
          <w:kern w:val="2"/>
          <w:sz w:val="32"/>
          <w:szCs w:val="32"/>
          <w:highlight w:val="none"/>
          <w:u w:val="none"/>
          <w:lang w:val="en-US" w:eastAsia="zh-CN" w:bidi="ar-SA"/>
        </w:rPr>
        <w:t>第一节统筹国土空间开发</w:t>
      </w:r>
      <w:bookmarkEnd w:id="162"/>
      <w:bookmarkEnd w:id="163"/>
      <w:bookmarkEnd w:id="164"/>
    </w:p>
    <w:p w14:paraId="7CF5347D">
      <w:pPr>
        <w:keepNext w:val="0"/>
        <w:keepLines w:val="0"/>
        <w:pageBreakBefore w:val="0"/>
        <w:widowControl w:val="0"/>
        <w:kinsoku/>
        <w:wordWrap/>
        <w:overflowPunct/>
        <w:topLinePunct w:val="0"/>
        <w:autoSpaceDE/>
        <w:autoSpaceDN/>
        <w:bidi w:val="0"/>
        <w:adjustRightInd w:val="0"/>
        <w:snapToGrid w:val="0"/>
        <w:spacing w:after="721" w:afterLines="200" w:line="560" w:lineRule="exact"/>
        <w:ind w:firstLine="640"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Times New Roman" w:hAnsi="Times New Roman" w:eastAsia="仿宋_GB2312" w:cs="Times New Roman"/>
          <w:color w:val="auto"/>
          <w:kern w:val="2"/>
          <w:sz w:val="32"/>
          <w:szCs w:val="32"/>
          <w:highlight w:val="none"/>
          <w:u w:val="none"/>
          <w:lang w:val="en-US" w:eastAsia="zh-CN" w:bidi="ar"/>
        </w:rPr>
        <w:t>严格执行《扶沟县国土空间总体规划（2021-2035年）》，统筹全域全要素，强化国土空间用途分类管控，严守“三区三线”，统筹布局生态、农业、城镇等功能空间，实现县域国土空间的全域全过程差异化管理。</w:t>
      </w:r>
    </w:p>
    <w:tbl>
      <w:tblPr>
        <w:tblStyle w:val="2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74"/>
      </w:tblGrid>
      <w:tr w14:paraId="65802B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jc w:val="center"/>
        </w:trPr>
        <w:tc>
          <w:tcPr>
            <w:tcW w:w="8674" w:type="dxa"/>
            <w:noWrap w:val="0"/>
            <w:vAlign w:val="center"/>
          </w:tcPr>
          <w:p w14:paraId="7AC60ED5">
            <w:pPr>
              <w:keepNext w:val="0"/>
              <w:keepLines w:val="0"/>
              <w:pageBreakBefore w:val="0"/>
              <w:widowControl w:val="0"/>
              <w:suppressLineNumbers w:val="0"/>
              <w:kinsoku/>
              <w:wordWrap/>
              <w:overflowPunct/>
              <w:topLinePunct w:val="0"/>
              <w:autoSpaceDE/>
              <w:autoSpaceDN/>
              <w:bidi w:val="0"/>
              <w:adjustRightInd w:val="0"/>
              <w:snapToGrid w:val="0"/>
              <w:spacing w:beforeAutospacing="0" w:afterAutospacing="0" w:line="400" w:lineRule="exact"/>
              <w:ind w:left="0" w:right="0" w:firstLine="0" w:firstLineChars="0"/>
              <w:jc w:val="center"/>
              <w:textAlignment w:val="auto"/>
              <w:rPr>
                <w:rFonts w:hint="default" w:ascii="Times New Roman" w:hAnsi="Times New Roman" w:eastAsia="仿宋" w:cs="Times New Roman"/>
                <w:color w:val="auto"/>
                <w:sz w:val="28"/>
                <w:szCs w:val="28"/>
                <w:highlight w:val="none"/>
                <w:u w:val="none"/>
                <w:shd w:val="clear" w:color="auto" w:fill="FFFFFF"/>
              </w:rPr>
            </w:pPr>
            <w:r>
              <w:rPr>
                <w:rFonts w:hint="eastAsia" w:ascii="楷体_GB2312" w:hAnsi="楷体_GB2312" w:eastAsia="楷体_GB2312" w:cs="楷体_GB2312"/>
                <w:b/>
                <w:bCs w:val="0"/>
                <w:color w:val="auto"/>
                <w:sz w:val="28"/>
                <w:szCs w:val="28"/>
                <w:highlight w:val="none"/>
                <w:u w:val="none"/>
                <w:shd w:val="clear" w:color="auto" w:fill="FFFFFF"/>
              </w:rPr>
              <w:t>专栏</w:t>
            </w:r>
            <w:r>
              <w:rPr>
                <w:rFonts w:hint="eastAsia" w:ascii="楷体_GB2312" w:hAnsi="楷体_GB2312" w:eastAsia="楷体_GB2312" w:cs="楷体_GB2312"/>
                <w:b/>
                <w:bCs w:val="0"/>
                <w:color w:val="auto"/>
                <w:sz w:val="28"/>
                <w:szCs w:val="28"/>
                <w:highlight w:val="none"/>
                <w:u w:val="none"/>
                <w:shd w:val="clear" w:color="auto" w:fill="FFFFFF"/>
                <w:lang w:val="en-US" w:eastAsia="zh-CN"/>
              </w:rPr>
              <w:t>7-1</w:t>
            </w:r>
            <w:r>
              <w:rPr>
                <w:rFonts w:hint="eastAsia" w:ascii="楷体_GB2312" w:hAnsi="楷体_GB2312" w:eastAsia="楷体_GB2312" w:cs="楷体_GB2312"/>
                <w:b/>
                <w:bCs w:val="0"/>
                <w:color w:val="auto"/>
                <w:sz w:val="28"/>
                <w:szCs w:val="28"/>
                <w:highlight w:val="none"/>
                <w:u w:val="none"/>
                <w:shd w:val="clear" w:color="auto" w:fill="FFFFFF"/>
              </w:rPr>
              <w:t>：</w:t>
            </w:r>
            <w:r>
              <w:rPr>
                <w:rFonts w:hint="eastAsia" w:ascii="楷体_GB2312" w:hAnsi="楷体_GB2312" w:eastAsia="楷体_GB2312" w:cs="楷体_GB2312"/>
                <w:b/>
                <w:bCs w:val="0"/>
                <w:color w:val="auto"/>
                <w:sz w:val="28"/>
                <w:szCs w:val="28"/>
                <w:highlight w:val="none"/>
                <w:u w:val="none"/>
                <w:shd w:val="clear" w:color="auto" w:fill="FFFFFF"/>
                <w:lang w:val="en-US" w:eastAsia="zh-CN"/>
              </w:rPr>
              <w:t>扶沟县</w:t>
            </w:r>
            <w:r>
              <w:rPr>
                <w:rFonts w:hint="eastAsia" w:ascii="楷体_GB2312" w:hAnsi="楷体_GB2312" w:eastAsia="楷体_GB2312" w:cs="楷体_GB2312"/>
                <w:b/>
                <w:bCs w:val="0"/>
                <w:strike w:val="0"/>
                <w:dstrike w:val="0"/>
                <w:color w:val="auto"/>
                <w:sz w:val="28"/>
                <w:szCs w:val="28"/>
                <w:highlight w:val="none"/>
                <w:u w:val="none"/>
                <w:shd w:val="clear" w:color="auto" w:fill="FFFFFF"/>
                <w:lang w:val="en-US" w:eastAsia="zh-CN"/>
              </w:rPr>
              <w:t>国土</w:t>
            </w:r>
            <w:r>
              <w:rPr>
                <w:rFonts w:hint="eastAsia" w:ascii="楷体_GB2312" w:hAnsi="楷体_GB2312" w:eastAsia="楷体_GB2312" w:cs="楷体_GB2312"/>
                <w:b/>
                <w:bCs w:val="0"/>
                <w:strike w:val="0"/>
                <w:dstrike w:val="0"/>
                <w:color w:val="auto"/>
                <w:sz w:val="28"/>
                <w:szCs w:val="28"/>
                <w:highlight w:val="none"/>
                <w:u w:val="none"/>
                <w:shd w:val="clear" w:color="auto" w:fill="FFFFFF"/>
                <w:lang w:eastAsia="zh-CN"/>
              </w:rPr>
              <w:t>空间布局</w:t>
            </w:r>
          </w:p>
        </w:tc>
      </w:tr>
      <w:tr w14:paraId="6A3206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jc w:val="center"/>
        </w:trPr>
        <w:tc>
          <w:tcPr>
            <w:tcW w:w="8674" w:type="dxa"/>
            <w:noWrap w:val="0"/>
            <w:vAlign w:val="center"/>
          </w:tcPr>
          <w:p w14:paraId="624947B2">
            <w:pPr>
              <w:keepNext w:val="0"/>
              <w:keepLines w:val="0"/>
              <w:pageBreakBefore w:val="0"/>
              <w:widowControl w:val="0"/>
              <w:suppressLineNumbers w:val="0"/>
              <w:kinsoku/>
              <w:wordWrap/>
              <w:overflowPunct/>
              <w:topLinePunct w:val="0"/>
              <w:autoSpaceDE/>
              <w:autoSpaceDN/>
              <w:bidi w:val="0"/>
              <w:adjustRightInd w:val="0"/>
              <w:snapToGrid w:val="0"/>
              <w:spacing w:beforeAutospacing="0" w:afterAutospacing="0" w:line="400" w:lineRule="exact"/>
              <w:ind w:left="0" w:right="0" w:firstLine="560" w:firstLineChars="200"/>
              <w:jc w:val="both"/>
              <w:textAlignment w:val="auto"/>
              <w:rPr>
                <w:rFonts w:hint="eastAsia" w:ascii="Times New Roman" w:hAnsi="Times New Roman" w:eastAsia="仿宋_GB2312" w:cs="Times New Roman"/>
                <w:b w:val="0"/>
                <w:bCs w:val="0"/>
                <w:color w:val="auto"/>
                <w:kern w:val="2"/>
                <w:sz w:val="28"/>
                <w:szCs w:val="28"/>
                <w:highlight w:val="none"/>
                <w:u w:val="none"/>
                <w:lang w:val="en-US" w:eastAsia="zh-CN" w:bidi="ar-SA"/>
              </w:rPr>
            </w:pPr>
            <w:r>
              <w:rPr>
                <w:rFonts w:hint="eastAsia" w:ascii="Times New Roman" w:hAnsi="Times New Roman" w:eastAsia="仿宋_GB2312" w:cs="Times New Roman"/>
                <w:b w:val="0"/>
                <w:bCs w:val="0"/>
                <w:color w:val="auto"/>
                <w:kern w:val="2"/>
                <w:sz w:val="28"/>
                <w:szCs w:val="28"/>
                <w:highlight w:val="none"/>
                <w:u w:val="none"/>
                <w:lang w:val="en-US" w:eastAsia="zh-CN" w:bidi="ar-SA"/>
              </w:rPr>
              <w:t>坚持人与自然和谐共生的理念，统筹“农业空间、生态空间、城镇空间”关系，</w:t>
            </w:r>
            <w:r>
              <w:rPr>
                <w:rFonts w:hint="eastAsia" w:ascii="Times New Roman" w:hAnsi="Times New Roman" w:eastAsia="仿宋_GB2312" w:cs="Times New Roman"/>
                <w:b/>
                <w:bCs/>
                <w:color w:val="auto"/>
                <w:kern w:val="2"/>
                <w:sz w:val="28"/>
                <w:szCs w:val="28"/>
                <w:highlight w:val="none"/>
                <w:u w:val="none"/>
                <w:lang w:val="en-US" w:eastAsia="zh-CN" w:bidi="ar-SA"/>
              </w:rPr>
              <w:t>构建“三水润沃土、一核带三星、三轴促振兴”的国土空间开发保护总体格局</w:t>
            </w:r>
            <w:r>
              <w:rPr>
                <w:rFonts w:hint="eastAsia" w:ascii="Times New Roman" w:hAnsi="Times New Roman" w:eastAsia="仿宋_GB2312" w:cs="Times New Roman"/>
                <w:b w:val="0"/>
                <w:bCs w:val="0"/>
                <w:color w:val="auto"/>
                <w:kern w:val="2"/>
                <w:sz w:val="28"/>
                <w:szCs w:val="28"/>
                <w:highlight w:val="none"/>
                <w:u w:val="none"/>
                <w:lang w:val="en-US" w:eastAsia="zh-CN" w:bidi="ar-SA"/>
              </w:rPr>
              <w:t>。</w:t>
            </w:r>
          </w:p>
          <w:p w14:paraId="7BF64AE5">
            <w:pPr>
              <w:keepNext w:val="0"/>
              <w:keepLines w:val="0"/>
              <w:pageBreakBefore w:val="0"/>
              <w:widowControl w:val="0"/>
              <w:suppressLineNumbers w:val="0"/>
              <w:kinsoku/>
              <w:wordWrap/>
              <w:overflowPunct/>
              <w:topLinePunct w:val="0"/>
              <w:autoSpaceDE/>
              <w:autoSpaceDN/>
              <w:bidi w:val="0"/>
              <w:adjustRightInd w:val="0"/>
              <w:snapToGrid w:val="0"/>
              <w:spacing w:beforeAutospacing="0" w:afterAutospacing="0" w:line="400" w:lineRule="exact"/>
              <w:ind w:left="0" w:right="0" w:firstLine="562" w:firstLineChars="200"/>
              <w:jc w:val="both"/>
              <w:textAlignment w:val="auto"/>
              <w:rPr>
                <w:rFonts w:hint="eastAsia" w:ascii="Times New Roman" w:hAnsi="Times New Roman" w:eastAsia="仿宋_GB2312" w:cs="Times New Roman"/>
                <w:b w:val="0"/>
                <w:bCs w:val="0"/>
                <w:color w:val="auto"/>
                <w:kern w:val="2"/>
                <w:sz w:val="28"/>
                <w:szCs w:val="28"/>
                <w:highlight w:val="none"/>
                <w:u w:val="none"/>
                <w:lang w:val="en-US" w:eastAsia="zh-CN" w:bidi="ar-SA"/>
              </w:rPr>
            </w:pPr>
            <w:r>
              <w:rPr>
                <w:rFonts w:hint="eastAsia" w:ascii="Times New Roman" w:hAnsi="Times New Roman" w:eastAsia="仿宋_GB2312" w:cs="Times New Roman"/>
                <w:b/>
                <w:bCs/>
                <w:color w:val="auto"/>
                <w:kern w:val="2"/>
                <w:sz w:val="28"/>
                <w:szCs w:val="28"/>
                <w:highlight w:val="none"/>
                <w:u w:val="none"/>
                <w:lang w:val="en-US" w:eastAsia="zh-CN" w:bidi="ar-SA"/>
              </w:rPr>
              <w:t>三水润沃土。</w:t>
            </w:r>
            <w:r>
              <w:rPr>
                <w:rFonts w:hint="eastAsia" w:ascii="Times New Roman" w:hAnsi="Times New Roman" w:eastAsia="仿宋_GB2312" w:cs="Times New Roman"/>
                <w:b w:val="0"/>
                <w:bCs w:val="0"/>
                <w:color w:val="auto"/>
                <w:kern w:val="2"/>
                <w:sz w:val="28"/>
                <w:szCs w:val="28"/>
                <w:highlight w:val="none"/>
                <w:u w:val="none"/>
                <w:lang w:val="en-US" w:eastAsia="zh-CN" w:bidi="ar-SA"/>
              </w:rPr>
              <w:t>提升贾鲁河、尉扶河、清水河生态功能，突出平原地区林田基质，发挥全域生态河渠水网功能，与都市农业区、优质粮食与绿色蔬菜生产区整体形成水美田沃的生态和农业空间。</w:t>
            </w:r>
          </w:p>
          <w:p w14:paraId="5DA966CB">
            <w:pPr>
              <w:keepNext w:val="0"/>
              <w:keepLines w:val="0"/>
              <w:pageBreakBefore w:val="0"/>
              <w:widowControl w:val="0"/>
              <w:suppressLineNumbers w:val="0"/>
              <w:kinsoku/>
              <w:wordWrap/>
              <w:overflowPunct/>
              <w:topLinePunct w:val="0"/>
              <w:autoSpaceDE/>
              <w:autoSpaceDN/>
              <w:bidi w:val="0"/>
              <w:adjustRightInd w:val="0"/>
              <w:snapToGrid w:val="0"/>
              <w:spacing w:beforeAutospacing="0" w:afterAutospacing="0" w:line="400" w:lineRule="exact"/>
              <w:ind w:left="0" w:right="0" w:firstLine="562" w:firstLineChars="200"/>
              <w:jc w:val="both"/>
              <w:textAlignment w:val="auto"/>
              <w:rPr>
                <w:rFonts w:hint="eastAsia" w:ascii="Times New Roman" w:hAnsi="Times New Roman" w:eastAsia="仿宋_GB2312" w:cs="Times New Roman"/>
                <w:b w:val="0"/>
                <w:bCs w:val="0"/>
                <w:color w:val="auto"/>
                <w:kern w:val="2"/>
                <w:sz w:val="28"/>
                <w:szCs w:val="28"/>
                <w:highlight w:val="none"/>
                <w:u w:val="none"/>
                <w:lang w:val="en-US" w:eastAsia="zh-CN" w:bidi="ar-SA"/>
              </w:rPr>
            </w:pPr>
            <w:r>
              <w:rPr>
                <w:rFonts w:hint="eastAsia" w:ascii="Times New Roman" w:hAnsi="Times New Roman" w:eastAsia="仿宋_GB2312" w:cs="Times New Roman"/>
                <w:b/>
                <w:bCs/>
                <w:color w:val="auto"/>
                <w:kern w:val="2"/>
                <w:sz w:val="28"/>
                <w:szCs w:val="28"/>
                <w:highlight w:val="none"/>
                <w:u w:val="none"/>
                <w:lang w:val="en-US" w:eastAsia="zh-CN" w:bidi="ar-SA"/>
              </w:rPr>
              <w:t>一核带三星。</w:t>
            </w:r>
            <w:r>
              <w:rPr>
                <w:rFonts w:hint="eastAsia" w:ascii="Times New Roman" w:hAnsi="Times New Roman" w:eastAsia="仿宋_GB2312" w:cs="Times New Roman"/>
                <w:b w:val="0"/>
                <w:bCs w:val="0"/>
                <w:color w:val="auto"/>
                <w:kern w:val="2"/>
                <w:sz w:val="28"/>
                <w:szCs w:val="28"/>
                <w:highlight w:val="none"/>
                <w:u w:val="none"/>
                <w:lang w:val="en-US" w:eastAsia="zh-CN" w:bidi="ar-SA"/>
              </w:rPr>
              <w:t>强化一个发展核心，推动扶沟县先进制造业开发区、公铁水物流园、老城特色消费中心、蔬菜科技博览园等产业节点建设，强化中心城区产业地位，协同大李庄街道办、柴岗乡共建县域发展核心。培育白潭镇、崔桥镇、练寺镇三个中心镇，依托乡镇资源优势，带动周边乡镇共同发展。</w:t>
            </w:r>
          </w:p>
          <w:p w14:paraId="4AC0D697">
            <w:pPr>
              <w:keepNext w:val="0"/>
              <w:keepLines w:val="0"/>
              <w:pageBreakBefore w:val="0"/>
              <w:widowControl w:val="0"/>
              <w:suppressLineNumbers w:val="0"/>
              <w:kinsoku/>
              <w:wordWrap/>
              <w:overflowPunct/>
              <w:topLinePunct w:val="0"/>
              <w:autoSpaceDE/>
              <w:autoSpaceDN/>
              <w:bidi w:val="0"/>
              <w:adjustRightInd w:val="0"/>
              <w:snapToGrid w:val="0"/>
              <w:spacing w:beforeAutospacing="0" w:afterAutospacing="0" w:line="400" w:lineRule="exact"/>
              <w:ind w:left="0" w:right="0" w:firstLine="562" w:firstLineChars="200"/>
              <w:jc w:val="both"/>
              <w:textAlignment w:val="auto"/>
              <w:rPr>
                <w:rFonts w:hint="eastAsia"/>
                <w:lang w:val="en-US" w:eastAsia="zh-CN"/>
              </w:rPr>
            </w:pPr>
            <w:r>
              <w:rPr>
                <w:rFonts w:hint="eastAsia" w:ascii="Times New Roman" w:hAnsi="Times New Roman" w:eastAsia="仿宋_GB2312" w:cs="Times New Roman"/>
                <w:b/>
                <w:bCs/>
                <w:color w:val="auto"/>
                <w:kern w:val="2"/>
                <w:sz w:val="28"/>
                <w:szCs w:val="28"/>
                <w:highlight w:val="none"/>
                <w:u w:val="none"/>
                <w:lang w:val="en-US" w:eastAsia="zh-CN" w:bidi="ar-SA"/>
              </w:rPr>
              <w:t>三轴促振兴。</w:t>
            </w:r>
            <w:r>
              <w:rPr>
                <w:rFonts w:hint="eastAsia" w:ascii="Times New Roman" w:hAnsi="Times New Roman" w:eastAsia="仿宋_GB2312" w:cs="Times New Roman"/>
                <w:b w:val="0"/>
                <w:bCs w:val="0"/>
                <w:color w:val="auto"/>
                <w:kern w:val="2"/>
                <w:sz w:val="28"/>
                <w:szCs w:val="28"/>
                <w:highlight w:val="none"/>
                <w:u w:val="none"/>
                <w:lang w:val="en-US" w:eastAsia="zh-CN" w:bidi="ar-SA"/>
              </w:rPr>
              <w:t>依托东西向沿G311-S320城镇主轴，南北向沿S102-G230城镇主轴及S222次轴，串联乡镇节点，加强乡镇之间、城乡之间联系，加快全域振兴。</w:t>
            </w:r>
          </w:p>
        </w:tc>
      </w:tr>
    </w:tbl>
    <w:p w14:paraId="2DE0F62F">
      <w:pPr>
        <w:keepNext/>
        <w:keepLines/>
        <w:pageBreakBefore w:val="0"/>
        <w:widowControl w:val="0"/>
        <w:numPr>
          <w:ilvl w:val="0"/>
          <w:numId w:val="0"/>
        </w:numPr>
        <w:kinsoku/>
        <w:wordWrap/>
        <w:overflowPunct/>
        <w:topLinePunct w:val="0"/>
        <w:autoSpaceDE/>
        <w:autoSpaceDN/>
        <w:bidi w:val="0"/>
        <w:adjustRightInd w:val="0"/>
        <w:snapToGrid w:val="0"/>
        <w:spacing w:before="361" w:beforeLines="100" w:after="156" w:afterLines="50" w:line="560" w:lineRule="exact"/>
        <w:ind w:leftChars="0"/>
        <w:jc w:val="center"/>
        <w:textAlignment w:val="auto"/>
        <w:outlineLvl w:val="2"/>
        <w:rPr>
          <w:rFonts w:hint="eastAsia" w:ascii="Times New Roman" w:hAnsi="Times New Roman" w:eastAsia="仿宋_GB2312" w:cs="Times New Roman"/>
          <w:color w:val="auto"/>
          <w:kern w:val="2"/>
          <w:sz w:val="32"/>
          <w:szCs w:val="32"/>
          <w:highlight w:val="none"/>
          <w:u w:val="none"/>
          <w:lang w:val="en-US" w:eastAsia="zh-CN" w:bidi="ar"/>
        </w:rPr>
      </w:pPr>
      <w:bookmarkStart w:id="165" w:name="_Toc15349"/>
      <w:bookmarkStart w:id="166" w:name="_Toc8574"/>
      <w:bookmarkStart w:id="167" w:name="_Toc9084"/>
      <w:r>
        <w:rPr>
          <w:rFonts w:hint="eastAsia" w:ascii="Times New Roman" w:hAnsi="Times New Roman" w:eastAsia="黑体" w:cs="Times New Roman"/>
          <w:b/>
          <w:bCs/>
          <w:color w:val="auto"/>
          <w:kern w:val="2"/>
          <w:sz w:val="32"/>
          <w:szCs w:val="32"/>
          <w:highlight w:val="none"/>
          <w:u w:val="none"/>
          <w:lang w:val="en-US" w:eastAsia="zh-CN" w:bidi="ar-SA"/>
        </w:rPr>
        <w:t>第二节推动城市更新行动</w:t>
      </w:r>
      <w:bookmarkEnd w:id="165"/>
      <w:bookmarkEnd w:id="166"/>
      <w:bookmarkEnd w:id="167"/>
    </w:p>
    <w:p w14:paraId="1045DA0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Times New Roman" w:hAnsi="Times New Roman" w:eastAsia="仿宋_GB2312" w:cs="Times New Roman"/>
          <w:color w:val="auto"/>
          <w:kern w:val="2"/>
          <w:sz w:val="32"/>
          <w:szCs w:val="32"/>
          <w:highlight w:val="none"/>
          <w:u w:val="none"/>
          <w:lang w:val="en-US" w:eastAsia="zh-CN" w:bidi="ar"/>
        </w:rPr>
        <w:t>以中央城市工作会议精神为指导，实施“旧城新貌、老区新业”更新路径，以“一区两园多集群”产业发展格局为牵引，通过空间重塑、动能培育、底蕴融合、宜居升级，推动城市有机更新与功能优化，让城市更有温度、更具活力、更富魅力。</w:t>
      </w:r>
    </w:p>
    <w:p w14:paraId="26DF3189">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楷体_GB2312" w:hAnsi="楷体_GB2312" w:eastAsia="楷体_GB2312" w:cs="楷体_GB2312"/>
          <w:b/>
          <w:bCs/>
          <w:color w:val="auto"/>
          <w:kern w:val="2"/>
          <w:sz w:val="32"/>
          <w:szCs w:val="32"/>
          <w:highlight w:val="none"/>
          <w:u w:val="none"/>
          <w:lang w:val="en-US" w:eastAsia="zh-CN" w:bidi="ar-SA"/>
        </w:rPr>
        <w:t>重塑空间价值，加快城市有机更新与功能优化。</w:t>
      </w:r>
      <w:r>
        <w:rPr>
          <w:rFonts w:hint="eastAsia" w:ascii="Times New Roman" w:hAnsi="Times New Roman" w:eastAsia="仿宋_GB2312" w:cs="Times New Roman"/>
          <w:color w:val="auto"/>
          <w:kern w:val="2"/>
          <w:sz w:val="32"/>
          <w:szCs w:val="32"/>
          <w:highlight w:val="none"/>
          <w:u w:val="none"/>
          <w:lang w:val="en-US" w:eastAsia="zh-CN" w:bidi="ar"/>
        </w:rPr>
        <w:t>通过路网升级、片区改造、闲置盘活，打破空间局限，让城市布局更合理、功能更完善。一是织密优化路网。以“畅通城区、衔接城乡”为目标，构建“主次分明、微循环畅通”的路网体系。“十五五”期间，将持续推进未完工项目建设，包括扶沟县马村干渠两侧棚户区改造、丁庄棚区改造、祥和家园棚改安置房、贾鲁嘉园棚户区改造（B区）等，同时谋划实施站前路西延梁庄安置房、凤凰台街西延马家厂安置房、四季花城东侧安置房、兴隆路两侧安置房等新项目，同步推进扶沟县大程路西段道路建设、老旧小区充电设施建设，打通“断头路”、拓宽“瓶颈路”，实现城区路网“内畅外联”。二是激活片区更新。以老城区“补短板”、新城区“提品质”为导向，重点推进高铁新区、开发区等核心片区开发。高铁新区围绕郑合高铁扶沟南站，布局电商快递分拨中心、货运专线，打造“高铁枢纽经济片”；老城区聚焦“烟火气”与“便利性”，改造提升桐丘路、文化路等传统商圈，引入首店经济、特色餐饮等业态，同时推进老旧小区改造，扩大改造范围，完善小区充电桩、停车位、养老服务站等配套，让老城区“旧貌换新颜”。三是盘活闲置资源。全面清查城区闲置土地、楼宇、厂房，建立“位置、面积、用途”台账，通过“房东变股东”“先租后买”“转型改造”等模式，推动资源高效利用。将闲置工业厂房改造为双创中心、直播电商基地，将废弃地块改建为口袋公园、社区停车场，“十五五”期间计划再盘活1500亩以上，让“闲置空间”变身“发展空间”。</w:t>
      </w:r>
    </w:p>
    <w:p w14:paraId="313AB27A">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楷体_GB2312" w:hAnsi="楷体_GB2312" w:eastAsia="楷体_GB2312" w:cs="楷体_GB2312"/>
          <w:b/>
          <w:bCs/>
          <w:color w:val="auto"/>
          <w:kern w:val="2"/>
          <w:sz w:val="32"/>
          <w:szCs w:val="32"/>
          <w:highlight w:val="none"/>
          <w:u w:val="none"/>
          <w:lang w:val="en-US" w:eastAsia="zh-CN" w:bidi="ar-SA"/>
        </w:rPr>
        <w:t>培育核心动能，加快产业升级与创新驱动。</w:t>
      </w:r>
      <w:r>
        <w:rPr>
          <w:rFonts w:hint="eastAsia" w:ascii="Times New Roman" w:hAnsi="Times New Roman" w:eastAsia="仿宋_GB2312" w:cs="Times New Roman"/>
          <w:color w:val="auto"/>
          <w:kern w:val="2"/>
          <w:sz w:val="32"/>
          <w:szCs w:val="32"/>
          <w:highlight w:val="none"/>
          <w:u w:val="none"/>
          <w:lang w:val="en-US" w:eastAsia="zh-CN" w:bidi="ar"/>
        </w:rPr>
        <w:t>以城市更新为载体，推动产业与城市深度融合，培育城市发展核心动能。做强工业集群载体，依托“一区两园多集群”产业布局，优化中原汽车零部件产业园、绿色无尘铸造产业园等专业园区配套，完善开发区热力管网、污水处理等基础设施，推动汽车零部件及配件制造、棉纺织及印染加工产业集群化发展。提升创新平台能级，高质量运营“双创”中心，培育</w:t>
      </w:r>
      <w:r>
        <w:rPr>
          <w:rFonts w:hint="eastAsia" w:ascii="仿宋_GB2312" w:hAnsi="仿宋_GB2312" w:eastAsia="仿宋_GB2312" w:cs="仿宋_GB2312"/>
          <w:color w:val="auto"/>
          <w:kern w:val="2"/>
          <w:sz w:val="32"/>
          <w:szCs w:val="21"/>
          <w:u w:val="none"/>
          <w:lang w:val="en-US" w:eastAsia="zh-CN" w:bidi="ar-SA"/>
        </w:rPr>
        <w:t>东旭固态岩板电池</w:t>
      </w:r>
      <w:r>
        <w:rPr>
          <w:rFonts w:hint="eastAsia" w:ascii="Times New Roman" w:hAnsi="Times New Roman" w:eastAsia="仿宋_GB2312" w:cs="Times New Roman"/>
          <w:color w:val="auto"/>
          <w:kern w:val="2"/>
          <w:sz w:val="32"/>
          <w:szCs w:val="32"/>
          <w:highlight w:val="none"/>
          <w:u w:val="none"/>
          <w:lang w:val="en-US" w:eastAsia="zh-CN" w:bidi="ar"/>
        </w:rPr>
        <w:t>等科技型企业，建设国家级智能技术与装备实验室、“低空经济”服务平台等创新载体，推动规上工业企业研发活动覆盖率达到95%以上。培育新兴产业生态，聚焦新能源、新材料、数字经济等领域，加快</w:t>
      </w:r>
      <w:r>
        <w:rPr>
          <w:rFonts w:hint="eastAsia" w:ascii="仿宋_GB2312" w:hAnsi="仿宋_GB2312" w:eastAsia="仿宋_GB2312" w:cs="仿宋_GB2312"/>
          <w:color w:val="auto"/>
          <w:kern w:val="2"/>
          <w:sz w:val="32"/>
          <w:szCs w:val="21"/>
          <w:u w:val="none"/>
          <w:lang w:val="en-US" w:eastAsia="zh-CN" w:bidi="ar-SA"/>
        </w:rPr>
        <w:t>东旭固态岩板电池</w:t>
      </w:r>
      <w:r>
        <w:rPr>
          <w:rFonts w:hint="eastAsia" w:ascii="Times New Roman" w:hAnsi="Times New Roman" w:eastAsia="仿宋_GB2312" w:cs="Times New Roman"/>
          <w:color w:val="auto"/>
          <w:kern w:val="2"/>
          <w:sz w:val="32"/>
          <w:szCs w:val="32"/>
          <w:highlight w:val="none"/>
          <w:u w:val="none"/>
          <w:lang w:val="en-US" w:eastAsia="zh-CN" w:bidi="ar"/>
        </w:rPr>
        <w:t>、源网荷储一体化等项目建设，新建一批6G基站，推动县域6G信号建设，推动数字经济与实体经济深度融合。精细化产业空间布局，在高铁新区构建商贸物流复合中心，形成“产业集聚区+物流园区”的产业空间支撑体系，促进产业集聚、要素集中、功能集成。</w:t>
      </w:r>
    </w:p>
    <w:p w14:paraId="6E0B162C">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楷体_GB2312" w:hAnsi="楷体_GB2312" w:eastAsia="楷体_GB2312" w:cs="楷体_GB2312"/>
          <w:b/>
          <w:bCs/>
          <w:color w:val="auto"/>
          <w:kern w:val="2"/>
          <w:sz w:val="32"/>
          <w:szCs w:val="32"/>
          <w:highlight w:val="none"/>
          <w:u w:val="none"/>
          <w:lang w:val="en-US" w:eastAsia="zh-CN" w:bidi="ar-SA"/>
        </w:rPr>
        <w:t>融合扶沟底蕴，加快服务业</w:t>
      </w:r>
      <w:r>
        <w:rPr>
          <w:rFonts w:hint="eastAsia" w:ascii="楷体_GB2312" w:hAnsi="楷体_GB2312" w:eastAsia="楷体_GB2312" w:cs="楷体_GB2312"/>
          <w:b/>
          <w:bCs/>
          <w:color w:val="auto"/>
          <w:kern w:val="2"/>
          <w:sz w:val="32"/>
          <w:szCs w:val="32"/>
          <w:highlight w:val="none"/>
          <w:u w:val="none"/>
          <w:lang w:val="en-US" w:eastAsia="zh" w:bidi="ar-SA"/>
        </w:rPr>
        <w:t>转型</w:t>
      </w:r>
      <w:r>
        <w:rPr>
          <w:rFonts w:hint="eastAsia" w:ascii="楷体_GB2312" w:hAnsi="楷体_GB2312" w:eastAsia="楷体_GB2312" w:cs="楷体_GB2312"/>
          <w:b/>
          <w:bCs/>
          <w:color w:val="auto"/>
          <w:kern w:val="2"/>
          <w:sz w:val="32"/>
          <w:szCs w:val="32"/>
          <w:highlight w:val="none"/>
          <w:u w:val="none"/>
          <w:lang w:val="en-US" w:eastAsia="zh-CN" w:bidi="ar-SA"/>
        </w:rPr>
        <w:t>与枢纽经济发展。</w:t>
      </w:r>
      <w:r>
        <w:rPr>
          <w:rFonts w:hint="eastAsia" w:ascii="Times New Roman" w:hAnsi="Times New Roman" w:eastAsia="仿宋_GB2312" w:cs="Times New Roman"/>
          <w:color w:val="auto"/>
          <w:kern w:val="2"/>
          <w:sz w:val="32"/>
          <w:szCs w:val="32"/>
          <w:highlight w:val="none"/>
          <w:u w:val="none"/>
          <w:lang w:val="en-US" w:eastAsia="zh-CN" w:bidi="ar"/>
        </w:rPr>
        <w:t>深挖扶沟文化与区位优势，推动服务业转型升级，发展枢纽经济，激活城市发展新活力。壮大现代物流业，加快京东智慧物流港建设，完善“县园乡站村点”物流体系，推进邮政、快递资源整合，构建覆盖城乡的冷链物流网络，打造中原地区重要的蔬菜物流集散中心。发展文旅融合产业，整合吉鸿昌将军纪念馆、大程书院等文化资源与蔬菜园区生态资源，实施大程文旅生态新城、孟亭水库恢复利用等项目，打造集文化体验、生态休闲、研学旅游于一体的精品线路，培育农文旅融合新业态。提升商贸服务品质，优化明居酒店周边现有商圈，培育桐韵水街等夜间消费载体，发展首发经济、银发经济、品牌经济，新增特色店铺20个以上，推动传统商贸向品质化、多元化转型。做强枢纽经济载体，依托高铁站、高速公路出口、贾鲁河通航等交通优势，完善物流仓储、商务办公等配套设施，发展会展经济、总部经济，推动绿业元会展中心提质增效，打造商贸物流枢纽基地。</w:t>
      </w:r>
    </w:p>
    <w:p w14:paraId="7D7160F0">
      <w:pPr>
        <w:keepNext w:val="0"/>
        <w:keepLines w:val="0"/>
        <w:pageBreakBefore w:val="0"/>
        <w:widowControl w:val="0"/>
        <w:kinsoku/>
        <w:wordWrap/>
        <w:overflowPunct/>
        <w:topLinePunct w:val="0"/>
        <w:autoSpaceDE/>
        <w:autoSpaceDN/>
        <w:bidi w:val="0"/>
        <w:adjustRightInd w:val="0"/>
        <w:snapToGrid w:val="0"/>
        <w:spacing w:after="721" w:afterLines="200" w:line="560" w:lineRule="exact"/>
        <w:ind w:firstLine="643"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楷体_GB2312" w:hAnsi="楷体_GB2312" w:eastAsia="楷体_GB2312" w:cs="楷体_GB2312"/>
          <w:b/>
          <w:bCs/>
          <w:color w:val="auto"/>
          <w:kern w:val="2"/>
          <w:sz w:val="32"/>
          <w:szCs w:val="32"/>
          <w:highlight w:val="none"/>
          <w:u w:val="none"/>
          <w:lang w:val="en-US" w:eastAsia="zh-CN" w:bidi="ar-SA"/>
        </w:rPr>
        <w:t>推动宜居可持续，加快绿色安全与服务供给。</w:t>
      </w:r>
      <w:r>
        <w:rPr>
          <w:rFonts w:hint="eastAsia" w:ascii="Times New Roman" w:hAnsi="Times New Roman" w:eastAsia="仿宋_GB2312" w:cs="Times New Roman"/>
          <w:color w:val="auto"/>
          <w:kern w:val="2"/>
          <w:sz w:val="32"/>
          <w:szCs w:val="32"/>
          <w:highlight w:val="none"/>
          <w:u w:val="none"/>
          <w:lang w:val="en-US" w:eastAsia="zh-CN" w:bidi="ar"/>
        </w:rPr>
        <w:t>坚守绿色发展底线，强化安全保障能力，完善公共服务供给。“十五五”期间，将持续推进贾鲁河省级湿地公园、清水河省级湿地公园建设，实施城区水系连通工程（吉祥河、截洪沟、洧水河、城南沟等），新增一批城市公园、游园，实现“推窗见绿、出门入园”，城区人均公园绿地面积从8.2平方米提升至10平方米以上。加强城市安全基础设施建设，加快第三污水处理厂建设，提升城区污水处理能力；同时推进城市生命线安全工程，对燃气、排水、桥梁等基础设施安装智能监测设备，建立“监测-预警-处置”闭环机制，提升防灾减灾救灾能力。推进义务教育优质均衡发展，实施立雪路学校中学部、第二实验中学等项目建设，完善“桐禾智慧教育平台”功能；深化紧密型县域医共体建设，加快县人民医院能力提升、县中医院康养中心等项目实施，提升医疗服务水平；推进乡镇敬老院转型区域综合养老服务中心，完成困难家庭适老化改造2000户，完善智慧养老服务平台。</w:t>
      </w:r>
    </w:p>
    <w:tbl>
      <w:tblPr>
        <w:tblStyle w:val="2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43"/>
      </w:tblGrid>
      <w:tr w14:paraId="7CF6CE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2" w:hRule="atLeast"/>
          <w:jc w:val="center"/>
        </w:trPr>
        <w:tc>
          <w:tcPr>
            <w:tcW w:w="8543" w:type="dxa"/>
            <w:noWrap w:val="0"/>
            <w:vAlign w:val="center"/>
          </w:tcPr>
          <w:p w14:paraId="54D0C2FD">
            <w:pPr>
              <w:keepNext w:val="0"/>
              <w:keepLines w:val="0"/>
              <w:pageBreakBefore w:val="0"/>
              <w:widowControl w:val="0"/>
              <w:suppressLineNumbers w:val="0"/>
              <w:kinsoku/>
              <w:wordWrap/>
              <w:overflowPunct/>
              <w:topLinePunct w:val="0"/>
              <w:autoSpaceDE/>
              <w:autoSpaceDN/>
              <w:bidi w:val="0"/>
              <w:adjustRightInd w:val="0"/>
              <w:snapToGrid w:val="0"/>
              <w:spacing w:beforeAutospacing="0" w:afterAutospacing="0" w:line="400" w:lineRule="exact"/>
              <w:ind w:left="0" w:right="0" w:firstLine="0" w:firstLineChars="0"/>
              <w:jc w:val="center"/>
              <w:textAlignment w:val="auto"/>
              <w:rPr>
                <w:rFonts w:hint="default" w:ascii="楷体_GB2312" w:hAnsi="楷体_GB2312" w:eastAsia="楷体_GB2312" w:cs="楷体_GB2312"/>
                <w:b/>
                <w:bCs w:val="0"/>
                <w:color w:val="auto"/>
                <w:kern w:val="2"/>
                <w:sz w:val="28"/>
                <w:szCs w:val="28"/>
                <w:highlight w:val="none"/>
                <w:u w:val="none"/>
                <w:shd w:val="clear" w:color="auto" w:fill="FFFFFF"/>
                <w:lang w:val="en-US" w:eastAsia="zh-CN" w:bidi="ar-SA"/>
              </w:rPr>
            </w:pPr>
            <w:r>
              <w:rPr>
                <w:rFonts w:hint="eastAsia" w:ascii="楷体_GB2312" w:hAnsi="楷体_GB2312" w:eastAsia="楷体_GB2312" w:cs="楷体_GB2312"/>
                <w:b/>
                <w:bCs w:val="0"/>
                <w:color w:val="auto"/>
                <w:kern w:val="2"/>
                <w:sz w:val="28"/>
                <w:szCs w:val="28"/>
                <w:highlight w:val="none"/>
                <w:u w:val="none"/>
                <w:shd w:val="clear" w:color="auto" w:fill="FFFFFF"/>
                <w:lang w:val="en-US" w:eastAsia="zh-CN" w:bidi="ar-SA"/>
              </w:rPr>
              <w:tab/>
            </w:r>
            <w:r>
              <w:rPr>
                <w:rFonts w:hint="default" w:ascii="楷体_GB2312" w:hAnsi="楷体_GB2312" w:eastAsia="楷体_GB2312" w:cs="楷体_GB2312"/>
                <w:b/>
                <w:bCs w:val="0"/>
                <w:color w:val="auto"/>
                <w:kern w:val="2"/>
                <w:sz w:val="28"/>
                <w:szCs w:val="28"/>
                <w:highlight w:val="none"/>
                <w:u w:val="none"/>
                <w:shd w:val="clear" w:color="auto" w:fill="FFFFFF"/>
                <w:lang w:val="en-US" w:eastAsia="zh-CN" w:bidi="ar-SA"/>
              </w:rPr>
              <w:t>专栏</w:t>
            </w:r>
            <w:r>
              <w:rPr>
                <w:rFonts w:hint="eastAsia" w:ascii="楷体_GB2312" w:hAnsi="楷体_GB2312" w:eastAsia="楷体_GB2312" w:cs="楷体_GB2312"/>
                <w:b/>
                <w:bCs w:val="0"/>
                <w:color w:val="auto"/>
                <w:kern w:val="2"/>
                <w:sz w:val="28"/>
                <w:szCs w:val="28"/>
                <w:highlight w:val="none"/>
                <w:u w:val="none"/>
                <w:shd w:val="clear" w:color="auto" w:fill="FFFFFF"/>
                <w:lang w:val="en-US" w:eastAsia="zh-CN" w:bidi="ar-SA"/>
              </w:rPr>
              <w:t>7-2</w:t>
            </w:r>
            <w:r>
              <w:rPr>
                <w:rFonts w:hint="default" w:ascii="楷体_GB2312" w:hAnsi="楷体_GB2312" w:eastAsia="楷体_GB2312" w:cs="楷体_GB2312"/>
                <w:b/>
                <w:bCs w:val="0"/>
                <w:color w:val="auto"/>
                <w:kern w:val="2"/>
                <w:sz w:val="28"/>
                <w:szCs w:val="28"/>
                <w:highlight w:val="none"/>
                <w:u w:val="none"/>
                <w:shd w:val="clear" w:color="auto" w:fill="FFFFFF"/>
                <w:lang w:val="en-US" w:eastAsia="zh-CN" w:bidi="ar-SA"/>
              </w:rPr>
              <w:t>：“十</w:t>
            </w:r>
            <w:r>
              <w:rPr>
                <w:rFonts w:hint="eastAsia" w:ascii="楷体_GB2312" w:hAnsi="楷体_GB2312" w:eastAsia="楷体_GB2312" w:cs="楷体_GB2312"/>
                <w:b/>
                <w:bCs w:val="0"/>
                <w:color w:val="auto"/>
                <w:kern w:val="2"/>
                <w:sz w:val="28"/>
                <w:szCs w:val="28"/>
                <w:highlight w:val="none"/>
                <w:u w:val="none"/>
                <w:shd w:val="clear" w:color="auto" w:fill="FFFFFF"/>
                <w:lang w:val="en-US" w:eastAsia="zh-CN" w:bidi="ar-SA"/>
              </w:rPr>
              <w:t>五</w:t>
            </w:r>
            <w:r>
              <w:rPr>
                <w:rFonts w:hint="default" w:ascii="楷体_GB2312" w:hAnsi="楷体_GB2312" w:eastAsia="楷体_GB2312" w:cs="楷体_GB2312"/>
                <w:b/>
                <w:bCs w:val="0"/>
                <w:color w:val="auto"/>
                <w:kern w:val="2"/>
                <w:sz w:val="28"/>
                <w:szCs w:val="28"/>
                <w:highlight w:val="none"/>
                <w:u w:val="none"/>
                <w:shd w:val="clear" w:color="auto" w:fill="FFFFFF"/>
                <w:lang w:val="en-US" w:eastAsia="zh-CN" w:bidi="ar-SA"/>
              </w:rPr>
              <w:t>五”</w:t>
            </w:r>
            <w:r>
              <w:rPr>
                <w:rFonts w:hint="eastAsia" w:ascii="楷体_GB2312" w:hAnsi="楷体_GB2312" w:eastAsia="楷体_GB2312" w:cs="楷体_GB2312"/>
                <w:b/>
                <w:bCs w:val="0"/>
                <w:color w:val="auto"/>
                <w:kern w:val="2"/>
                <w:sz w:val="28"/>
                <w:szCs w:val="28"/>
                <w:highlight w:val="none"/>
                <w:u w:val="none"/>
                <w:shd w:val="clear" w:color="auto" w:fill="FFFFFF"/>
                <w:lang w:val="en-US" w:eastAsia="zh-CN" w:bidi="ar-SA"/>
              </w:rPr>
              <w:t>期间城市更新</w:t>
            </w:r>
            <w:r>
              <w:rPr>
                <w:rFonts w:hint="default" w:ascii="楷体_GB2312" w:hAnsi="楷体_GB2312" w:eastAsia="楷体_GB2312" w:cs="楷体_GB2312"/>
                <w:b/>
                <w:bCs w:val="0"/>
                <w:color w:val="auto"/>
                <w:kern w:val="2"/>
                <w:sz w:val="28"/>
                <w:szCs w:val="28"/>
                <w:highlight w:val="none"/>
                <w:u w:val="none"/>
                <w:shd w:val="clear" w:color="auto" w:fill="FFFFFF"/>
                <w:lang w:val="en-US" w:eastAsia="zh-CN" w:bidi="ar-SA"/>
              </w:rPr>
              <w:t>重点项目</w:t>
            </w:r>
          </w:p>
        </w:tc>
      </w:tr>
      <w:tr w14:paraId="58AB7B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8543" w:type="dxa"/>
            <w:noWrap w:val="0"/>
            <w:vAlign w:val="center"/>
          </w:tcPr>
          <w:p w14:paraId="4B161856">
            <w:pPr>
              <w:keepNext w:val="0"/>
              <w:keepLines w:val="0"/>
              <w:pageBreakBefore w:val="0"/>
              <w:widowControl w:val="0"/>
              <w:suppressLineNumbers w:val="0"/>
              <w:kinsoku/>
              <w:wordWrap/>
              <w:overflowPunct/>
              <w:topLinePunct w:val="0"/>
              <w:autoSpaceDE/>
              <w:autoSpaceDN/>
              <w:bidi w:val="0"/>
              <w:adjustRightInd w:val="0"/>
              <w:snapToGrid w:val="0"/>
              <w:spacing w:beforeAutospacing="0" w:afterAutospacing="0" w:line="400" w:lineRule="exact"/>
              <w:ind w:left="0" w:right="0" w:firstLine="562" w:firstLineChars="200"/>
              <w:jc w:val="both"/>
              <w:textAlignment w:val="auto"/>
              <w:rPr>
                <w:rFonts w:hint="eastAsia" w:ascii="Times New Roman" w:hAnsi="Times New Roman" w:eastAsia="仿宋_GB2312" w:cs="Times New Roman"/>
                <w:b w:val="0"/>
                <w:bCs w:val="0"/>
                <w:color w:val="auto"/>
                <w:kern w:val="2"/>
                <w:sz w:val="28"/>
                <w:szCs w:val="28"/>
                <w:highlight w:val="none"/>
                <w:u w:val="none"/>
                <w:lang w:val="en-US" w:eastAsia="zh-CN" w:bidi="ar-SA"/>
              </w:rPr>
            </w:pPr>
            <w:r>
              <w:rPr>
                <w:rFonts w:hint="eastAsia" w:ascii="Times New Roman" w:hAnsi="Times New Roman" w:eastAsia="仿宋_GB2312" w:cs="Times New Roman"/>
                <w:b/>
                <w:bCs/>
                <w:color w:val="auto"/>
                <w:kern w:val="2"/>
                <w:sz w:val="28"/>
                <w:szCs w:val="28"/>
                <w:highlight w:val="none"/>
                <w:u w:val="none"/>
                <w:lang w:val="en-US" w:eastAsia="zh-CN" w:bidi="ar-SA"/>
              </w:rPr>
              <w:t>持续推进未完工项目：</w:t>
            </w:r>
            <w:r>
              <w:rPr>
                <w:rFonts w:hint="eastAsia" w:ascii="Times New Roman" w:hAnsi="Times New Roman" w:eastAsia="仿宋_GB2312" w:cs="Times New Roman"/>
                <w:b w:val="0"/>
                <w:bCs w:val="0"/>
                <w:color w:val="auto"/>
                <w:kern w:val="2"/>
                <w:sz w:val="28"/>
                <w:szCs w:val="28"/>
                <w:highlight w:val="none"/>
                <w:u w:val="none"/>
                <w:lang w:val="en-US" w:eastAsia="zh-CN" w:bidi="ar-SA"/>
              </w:rPr>
              <w:t>扶沟县马村干渠两侧棚户区改造项目、扶沟县丁庄棚区改造建设项目、扶沟县祥和家园棚改安置房项目、扶沟县贾鲁嘉园棚户区改造项目（B区）。</w:t>
            </w:r>
          </w:p>
          <w:p w14:paraId="36E9B7D5">
            <w:pPr>
              <w:keepNext w:val="0"/>
              <w:keepLines w:val="0"/>
              <w:pageBreakBefore w:val="0"/>
              <w:widowControl w:val="0"/>
              <w:suppressLineNumbers w:val="0"/>
              <w:kinsoku/>
              <w:wordWrap/>
              <w:overflowPunct/>
              <w:topLinePunct w:val="0"/>
              <w:autoSpaceDE/>
              <w:autoSpaceDN/>
              <w:bidi w:val="0"/>
              <w:adjustRightInd w:val="0"/>
              <w:snapToGrid w:val="0"/>
              <w:spacing w:beforeAutospacing="0" w:afterAutospacing="0" w:line="400" w:lineRule="exact"/>
              <w:ind w:left="0" w:right="0" w:firstLine="562" w:firstLineChars="200"/>
              <w:jc w:val="both"/>
              <w:textAlignment w:val="auto"/>
              <w:rPr>
                <w:rFonts w:hint="default" w:ascii="Times New Roman" w:hAnsi="Times New Roman" w:cs="Times New Roman"/>
                <w:color w:val="auto"/>
                <w:kern w:val="0"/>
                <w:sz w:val="28"/>
                <w:szCs w:val="28"/>
                <w:highlight w:val="none"/>
                <w:u w:val="none"/>
                <w:lang w:val="en-US" w:eastAsia="zh-CN"/>
              </w:rPr>
            </w:pPr>
            <w:r>
              <w:rPr>
                <w:rFonts w:hint="eastAsia" w:ascii="Times New Roman" w:hAnsi="Times New Roman" w:eastAsia="仿宋_GB2312" w:cs="Times New Roman"/>
                <w:b/>
                <w:bCs/>
                <w:color w:val="auto"/>
                <w:kern w:val="2"/>
                <w:sz w:val="28"/>
                <w:szCs w:val="28"/>
                <w:highlight w:val="none"/>
                <w:u w:val="none"/>
                <w:lang w:val="en-US" w:eastAsia="zh-CN" w:bidi="ar-SA"/>
              </w:rPr>
              <w:t>谋划十五五重点实施项目：</w:t>
            </w:r>
            <w:r>
              <w:rPr>
                <w:rFonts w:hint="eastAsia" w:ascii="Times New Roman" w:hAnsi="Times New Roman" w:eastAsia="仿宋_GB2312" w:cs="Times New Roman"/>
                <w:b w:val="0"/>
                <w:bCs w:val="0"/>
                <w:color w:val="auto"/>
                <w:kern w:val="2"/>
                <w:sz w:val="28"/>
                <w:szCs w:val="28"/>
                <w:highlight w:val="none"/>
                <w:u w:val="none"/>
                <w:lang w:val="en-US" w:eastAsia="zh-CN" w:bidi="ar-SA"/>
              </w:rPr>
              <w:t>站前路西延梁庄安置房建设项目、凤凰台街西延马家厂安置房建设项目、四季花城东侧安置房项目、兴隆路两侧安置房建设项目、扶沟县老旧小区充电设施建设项目、扶沟县大程路西段道路建设项目。</w:t>
            </w:r>
          </w:p>
        </w:tc>
      </w:tr>
    </w:tbl>
    <w:p w14:paraId="77C3BC03">
      <w:pPr>
        <w:keepNext/>
        <w:keepLines/>
        <w:pageBreakBefore w:val="0"/>
        <w:widowControl w:val="0"/>
        <w:numPr>
          <w:ilvl w:val="0"/>
          <w:numId w:val="0"/>
        </w:numPr>
        <w:kinsoku/>
        <w:wordWrap/>
        <w:overflowPunct/>
        <w:topLinePunct w:val="0"/>
        <w:autoSpaceDE/>
        <w:autoSpaceDN/>
        <w:bidi w:val="0"/>
        <w:adjustRightInd w:val="0"/>
        <w:snapToGrid w:val="0"/>
        <w:spacing w:before="361" w:beforeLines="100" w:after="156" w:afterLines="50" w:line="560" w:lineRule="exact"/>
        <w:ind w:leftChars="0"/>
        <w:jc w:val="center"/>
        <w:textAlignment w:val="auto"/>
        <w:outlineLvl w:val="2"/>
        <w:rPr>
          <w:rFonts w:hint="eastAsia" w:ascii="Times New Roman" w:hAnsi="Times New Roman" w:eastAsia="黑体" w:cs="Times New Roman"/>
          <w:b/>
          <w:bCs/>
          <w:color w:val="auto"/>
          <w:kern w:val="2"/>
          <w:sz w:val="32"/>
          <w:szCs w:val="32"/>
          <w:highlight w:val="none"/>
          <w:u w:val="none"/>
          <w:lang w:val="en-US" w:eastAsia="zh-CN" w:bidi="ar-SA"/>
        </w:rPr>
      </w:pPr>
      <w:bookmarkStart w:id="168" w:name="_Toc6063"/>
      <w:bookmarkStart w:id="169" w:name="_Toc22152"/>
      <w:bookmarkStart w:id="170" w:name="_Toc27614"/>
      <w:r>
        <w:rPr>
          <w:rFonts w:hint="eastAsia" w:ascii="Times New Roman" w:hAnsi="Times New Roman" w:eastAsia="黑体" w:cs="Times New Roman"/>
          <w:b/>
          <w:bCs/>
          <w:color w:val="auto"/>
          <w:kern w:val="2"/>
          <w:sz w:val="32"/>
          <w:szCs w:val="32"/>
          <w:highlight w:val="none"/>
          <w:u w:val="none"/>
          <w:lang w:val="en-US" w:eastAsia="zh-CN" w:bidi="ar-SA"/>
        </w:rPr>
        <w:t>第三节建设现代化人民城市</w:t>
      </w:r>
      <w:bookmarkEnd w:id="168"/>
      <w:bookmarkEnd w:id="169"/>
      <w:bookmarkEnd w:id="170"/>
    </w:p>
    <w:p w14:paraId="4E5409B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highlight w:val="none"/>
          <w:lang w:val="en-US" w:eastAsia="zh-CN"/>
        </w:rPr>
      </w:pPr>
      <w:r>
        <w:rPr>
          <w:rFonts w:hint="eastAsia" w:ascii="Times New Roman" w:hAnsi="Times New Roman" w:eastAsia="仿宋_GB2312" w:cs="Times New Roman"/>
          <w:color w:val="auto"/>
          <w:kern w:val="2"/>
          <w:sz w:val="32"/>
          <w:szCs w:val="32"/>
          <w:highlight w:val="none"/>
          <w:u w:val="none"/>
          <w:lang w:val="en-US" w:eastAsia="zh-CN" w:bidi="ar"/>
        </w:rPr>
        <w:t>聚焦城市高质量和内涵式发展，推进城市更新，牢牢守住城市安全底线，建设创新、宜居、美丽、韧性、文明、智慧的现代化人民城市。</w:t>
      </w:r>
    </w:p>
    <w:p w14:paraId="05C9D7AA">
      <w:pPr>
        <w:keepNext w:val="0"/>
        <w:keepLines w:val="0"/>
        <w:pageBreakBefore w:val="0"/>
        <w:widowControl w:val="0"/>
        <w:kinsoku/>
        <w:wordWrap/>
        <w:overflowPunct/>
        <w:topLinePunct w:val="0"/>
        <w:autoSpaceDE/>
        <w:autoSpaceDN/>
        <w:bidi w:val="0"/>
        <w:adjustRightInd w:val="0"/>
        <w:snapToGrid w:val="0"/>
        <w:spacing w:after="721" w:afterLines="200" w:line="560" w:lineRule="exact"/>
        <w:ind w:firstLine="643" w:firstLineChars="200"/>
        <w:textAlignment w:val="auto"/>
        <w:rPr>
          <w:rFonts w:hint="default" w:ascii="Times New Roman" w:hAnsi="Times New Roman" w:eastAsia="仿宋_GB2312" w:cs="Times New Roman"/>
          <w:color w:val="auto"/>
          <w:kern w:val="2"/>
          <w:sz w:val="32"/>
          <w:szCs w:val="32"/>
          <w:highlight w:val="none"/>
          <w:u w:val="none"/>
          <w:lang w:val="en-US" w:eastAsia="zh-CN" w:bidi="ar"/>
        </w:rPr>
      </w:pPr>
      <w:r>
        <w:rPr>
          <w:rFonts w:hint="eastAsia" w:ascii="楷体_GB2312" w:hAnsi="楷体_GB2312" w:eastAsia="楷体_GB2312" w:cs="楷体_GB2312"/>
          <w:b/>
          <w:bCs/>
          <w:color w:val="auto"/>
          <w:kern w:val="2"/>
          <w:sz w:val="32"/>
          <w:szCs w:val="32"/>
          <w:highlight w:val="none"/>
          <w:u w:val="none"/>
          <w:lang w:val="en-US" w:eastAsia="zh-CN" w:bidi="ar-SA"/>
        </w:rPr>
        <w:t>建设创新宜居美丽城市。</w:t>
      </w:r>
      <w:r>
        <w:rPr>
          <w:rFonts w:hint="eastAsia" w:ascii="Times New Roman" w:hAnsi="Times New Roman" w:eastAsia="仿宋_GB2312" w:cs="Times New Roman"/>
          <w:color w:val="auto"/>
          <w:kern w:val="2"/>
          <w:sz w:val="32"/>
          <w:szCs w:val="32"/>
          <w:highlight w:val="none"/>
          <w:u w:val="none"/>
          <w:lang w:val="en-US" w:eastAsia="zh-CN" w:bidi="ar"/>
        </w:rPr>
        <w:t>打破空间局限，重塑城市形态，将创新基因融入城市肌理，以宜居标准完善服务功能，用绿色理念勾勒城市轮廓，全力打造一座加快建设充满活力、舒适便捷、生态优美的现代化城市。</w:t>
      </w:r>
      <w:r>
        <w:rPr>
          <w:rFonts w:hint="eastAsia" w:ascii="Times New Roman" w:hAnsi="Times New Roman" w:eastAsia="仿宋_GB2312" w:cs="Times New Roman"/>
          <w:b/>
          <w:bCs/>
          <w:color w:val="auto"/>
          <w:kern w:val="2"/>
          <w:sz w:val="32"/>
          <w:szCs w:val="32"/>
          <w:highlight w:val="none"/>
          <w:u w:val="none"/>
          <w:lang w:val="en-US" w:eastAsia="zh-CN" w:bidi="ar"/>
        </w:rPr>
        <w:t>建设富有活力的创新城市。</w:t>
      </w:r>
      <w:r>
        <w:rPr>
          <w:rFonts w:hint="eastAsia" w:ascii="Times New Roman" w:hAnsi="Times New Roman" w:eastAsia="仿宋_GB2312" w:cs="Times New Roman"/>
          <w:color w:val="auto"/>
          <w:kern w:val="2"/>
          <w:sz w:val="32"/>
          <w:szCs w:val="32"/>
          <w:highlight w:val="none"/>
          <w:u w:val="none"/>
          <w:lang w:val="en-US" w:eastAsia="zh-CN" w:bidi="ar"/>
        </w:rPr>
        <w:t>以创新驱动引领城市发展，激活城市内生动力。强化企业创新主体地位，建立“初创企业—科技型中小企业—高新技术企业—科技领军企业”完整梯度培育体系，到2030年，培育高新技术企业35家以上，科技型中小企业300家以上，新增省市级创新平台35家以上。完善创新生态体系，深化产学研合作，推动企业与河南工程学院、河南农大等高校共建研发平台，促进科技成果本地转化；实施“人才强县”战略，引进各类专业人才，开展技能培训3万人次，筑牢创新人才支撑。激发城市创新活力，深化“放管服效”改革，优化AI政务服务，营造“鼓励创新、宽容失败”的良好氛围，让创新成为城市最鲜明的特质。</w:t>
      </w:r>
      <w:r>
        <w:rPr>
          <w:rFonts w:hint="eastAsia" w:ascii="Times New Roman" w:hAnsi="Times New Roman" w:eastAsia="仿宋_GB2312" w:cs="Times New Roman"/>
          <w:b/>
          <w:bCs/>
          <w:color w:val="auto"/>
          <w:kern w:val="2"/>
          <w:sz w:val="32"/>
          <w:szCs w:val="32"/>
          <w:highlight w:val="none"/>
          <w:u w:val="none"/>
          <w:lang w:val="en-US" w:eastAsia="zh-CN" w:bidi="ar"/>
        </w:rPr>
        <w:t>建设舒适便利的宜居城市。</w:t>
      </w:r>
      <w:r>
        <w:rPr>
          <w:rFonts w:hint="eastAsia" w:ascii="Times New Roman" w:hAnsi="Times New Roman" w:eastAsia="仿宋_GB2312" w:cs="Times New Roman"/>
          <w:color w:val="auto"/>
          <w:kern w:val="2"/>
          <w:sz w:val="32"/>
          <w:szCs w:val="32"/>
          <w:highlight w:val="none"/>
          <w:u w:val="none"/>
          <w:lang w:val="en-US" w:eastAsia="zh-CN" w:bidi="ar"/>
        </w:rPr>
        <w:t>以人民为中心，推进人口、产业、城镇、交通一体规划，优化城市空间结构，推进“好房子、好小区、好社区、好城区”四级联动建设。加快构建房地产发展新模式，持续推进城中村、老旧小区、危旧房改造，配套完善电梯、养老托幼等设施。高标准建设完整社区，构建“一刻钟便民生活圈”，完善教育、医疗、养老等公共服务设施。完善基础设施配套，全面完成城市路网优化升级，实现城区道路互联互通，推进南水北调扶沟城乡一体化供水和第二水厂建设，提升供水保障水平。建设全龄友好城市，兼顾各年龄阶段和特殊群体需求，推进无障碍基础设施建设，为青年、老年人、儿童和残疾人等提供适宜的发展与生活环境。大力发展生活性服务业，强化民生保障兜底，实现从“住有所居”向“住有宜居”的根本性转变。</w:t>
      </w:r>
      <w:r>
        <w:rPr>
          <w:rFonts w:hint="eastAsia" w:ascii="Times New Roman" w:hAnsi="Times New Roman" w:eastAsia="仿宋_GB2312" w:cs="Times New Roman"/>
          <w:b/>
          <w:bCs/>
          <w:color w:val="auto"/>
          <w:kern w:val="2"/>
          <w:sz w:val="32"/>
          <w:szCs w:val="32"/>
          <w:highlight w:val="none"/>
          <w:u w:val="none"/>
          <w:lang w:val="en-US" w:eastAsia="zh-CN" w:bidi="ar"/>
        </w:rPr>
        <w:t>建设绿色低碳的美丽城市。</w:t>
      </w:r>
      <w:r>
        <w:rPr>
          <w:rFonts w:hint="eastAsia" w:ascii="Times New Roman" w:hAnsi="Times New Roman" w:eastAsia="仿宋_GB2312" w:cs="Times New Roman"/>
          <w:color w:val="auto"/>
          <w:kern w:val="2"/>
          <w:sz w:val="32"/>
          <w:szCs w:val="32"/>
          <w:highlight w:val="none"/>
          <w:u w:val="none"/>
          <w:lang w:val="en-US" w:eastAsia="zh-CN" w:bidi="ar"/>
        </w:rPr>
        <w:t>践行绿色发展理念，打造天蓝、地绿、水清、路畅的美丽城市。推动生产方式绿色转型，严格控制“两高”项目，推进企业智能化、绿色化改造，实施节能减排项目50个以上，单位生产总值能耗完成上级考核目标。倡导绿色生活方式，推广新能源汽车、智能家电等绿色产品，开展绿色出行、垃圾分类等行动，垃圾分类乡镇覆盖率达到80%以上；推进城市绿化提质，建设贾鲁河省级湿地公园、森林公园等生态休闲空间，城市建成区绿化覆盖率达到40%以上。完善生态治理体系，建立健全生态环境监测网络，加强农业面源污染、工业污染治理，实现城乡生活垃圾收集转运率100%，农村污水治理率达到60%以上，让绿色成为城市最动人的底色。</w:t>
      </w:r>
      <w:r>
        <w:rPr>
          <w:rFonts w:hint="eastAsia" w:ascii="Times New Roman" w:hAnsi="Times New Roman" w:eastAsia="仿宋_GB2312" w:cs="Times New Roman"/>
          <w:color w:val="auto"/>
          <w:kern w:val="2"/>
          <w:sz w:val="32"/>
          <w:szCs w:val="32"/>
          <w:highlight w:val="none"/>
          <w:u w:val="none"/>
          <w:lang w:val="en-US" w:eastAsia="zh-CN" w:bidi="ar"/>
        </w:rPr>
        <w:tab/>
      </w:r>
    </w:p>
    <w:tbl>
      <w:tblPr>
        <w:tblStyle w:val="2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43"/>
      </w:tblGrid>
      <w:tr w14:paraId="2E252C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2" w:hRule="atLeast"/>
          <w:jc w:val="center"/>
        </w:trPr>
        <w:tc>
          <w:tcPr>
            <w:tcW w:w="8543" w:type="dxa"/>
            <w:noWrap w:val="0"/>
            <w:vAlign w:val="center"/>
          </w:tcPr>
          <w:p w14:paraId="17F2EC63">
            <w:pPr>
              <w:keepNext w:val="0"/>
              <w:keepLines w:val="0"/>
              <w:pageBreakBefore w:val="0"/>
              <w:widowControl w:val="0"/>
              <w:suppressLineNumbers w:val="0"/>
              <w:kinsoku/>
              <w:wordWrap/>
              <w:overflowPunct/>
              <w:topLinePunct w:val="0"/>
              <w:autoSpaceDE/>
              <w:autoSpaceDN/>
              <w:bidi w:val="0"/>
              <w:adjustRightInd w:val="0"/>
              <w:snapToGrid w:val="0"/>
              <w:spacing w:beforeAutospacing="0" w:afterAutospacing="0" w:line="400" w:lineRule="exact"/>
              <w:ind w:left="0" w:right="0" w:firstLine="0" w:firstLineChars="0"/>
              <w:jc w:val="center"/>
              <w:textAlignment w:val="auto"/>
              <w:rPr>
                <w:rFonts w:hint="default" w:ascii="楷体_GB2312" w:hAnsi="楷体_GB2312" w:eastAsia="楷体_GB2312" w:cs="楷体_GB2312"/>
                <w:b/>
                <w:bCs w:val="0"/>
                <w:color w:val="auto"/>
                <w:kern w:val="2"/>
                <w:sz w:val="28"/>
                <w:szCs w:val="28"/>
                <w:highlight w:val="none"/>
                <w:u w:val="none"/>
                <w:shd w:val="clear" w:color="auto" w:fill="FFFFFF"/>
                <w:lang w:val="en-US" w:eastAsia="zh-CN" w:bidi="ar-SA"/>
              </w:rPr>
            </w:pPr>
            <w:r>
              <w:rPr>
                <w:rFonts w:hint="eastAsia" w:ascii="楷体_GB2312" w:hAnsi="楷体_GB2312" w:eastAsia="楷体_GB2312" w:cs="楷体_GB2312"/>
                <w:b/>
                <w:bCs w:val="0"/>
                <w:color w:val="auto"/>
                <w:kern w:val="2"/>
                <w:sz w:val="28"/>
                <w:szCs w:val="28"/>
                <w:highlight w:val="none"/>
                <w:u w:val="none"/>
                <w:shd w:val="clear" w:color="auto" w:fill="FFFFFF"/>
                <w:lang w:val="en-US" w:eastAsia="zh-CN" w:bidi="ar-SA"/>
              </w:rPr>
              <w:tab/>
            </w:r>
            <w:r>
              <w:rPr>
                <w:rFonts w:hint="default" w:ascii="楷体_GB2312" w:hAnsi="楷体_GB2312" w:eastAsia="楷体_GB2312" w:cs="楷体_GB2312"/>
                <w:b/>
                <w:bCs w:val="0"/>
                <w:color w:val="auto"/>
                <w:kern w:val="2"/>
                <w:sz w:val="28"/>
                <w:szCs w:val="28"/>
                <w:highlight w:val="none"/>
                <w:u w:val="none"/>
                <w:shd w:val="clear" w:color="auto" w:fill="FFFFFF"/>
                <w:lang w:val="en-US" w:eastAsia="zh-CN" w:bidi="ar-SA"/>
              </w:rPr>
              <w:t>专栏</w:t>
            </w:r>
            <w:r>
              <w:rPr>
                <w:rFonts w:hint="eastAsia" w:ascii="楷体_GB2312" w:hAnsi="楷体_GB2312" w:eastAsia="楷体_GB2312" w:cs="楷体_GB2312"/>
                <w:b/>
                <w:bCs w:val="0"/>
                <w:color w:val="auto"/>
                <w:kern w:val="2"/>
                <w:sz w:val="28"/>
                <w:szCs w:val="28"/>
                <w:highlight w:val="none"/>
                <w:u w:val="none"/>
                <w:shd w:val="clear" w:color="auto" w:fill="FFFFFF"/>
                <w:lang w:val="en-US" w:eastAsia="zh-CN" w:bidi="ar-SA"/>
              </w:rPr>
              <w:t>7-3</w:t>
            </w:r>
            <w:r>
              <w:rPr>
                <w:rFonts w:hint="default" w:ascii="楷体_GB2312" w:hAnsi="楷体_GB2312" w:eastAsia="楷体_GB2312" w:cs="楷体_GB2312"/>
                <w:b/>
                <w:bCs w:val="0"/>
                <w:color w:val="auto"/>
                <w:kern w:val="2"/>
                <w:sz w:val="28"/>
                <w:szCs w:val="28"/>
                <w:highlight w:val="none"/>
                <w:u w:val="none"/>
                <w:shd w:val="clear" w:color="auto" w:fill="FFFFFF"/>
                <w:lang w:val="en-US" w:eastAsia="zh-CN" w:bidi="ar-SA"/>
              </w:rPr>
              <w:t>：“十</w:t>
            </w:r>
            <w:r>
              <w:rPr>
                <w:rFonts w:hint="eastAsia" w:ascii="楷体_GB2312" w:hAnsi="楷体_GB2312" w:eastAsia="楷体_GB2312" w:cs="楷体_GB2312"/>
                <w:b/>
                <w:bCs w:val="0"/>
                <w:color w:val="auto"/>
                <w:kern w:val="2"/>
                <w:sz w:val="28"/>
                <w:szCs w:val="28"/>
                <w:highlight w:val="none"/>
                <w:u w:val="none"/>
                <w:shd w:val="clear" w:color="auto" w:fill="FFFFFF"/>
                <w:lang w:val="en-US" w:eastAsia="zh-CN" w:bidi="ar-SA"/>
              </w:rPr>
              <w:t>五</w:t>
            </w:r>
            <w:r>
              <w:rPr>
                <w:rFonts w:hint="default" w:ascii="楷体_GB2312" w:hAnsi="楷体_GB2312" w:eastAsia="楷体_GB2312" w:cs="楷体_GB2312"/>
                <w:b/>
                <w:bCs w:val="0"/>
                <w:color w:val="auto"/>
                <w:kern w:val="2"/>
                <w:sz w:val="28"/>
                <w:szCs w:val="28"/>
                <w:highlight w:val="none"/>
                <w:u w:val="none"/>
                <w:shd w:val="clear" w:color="auto" w:fill="FFFFFF"/>
                <w:lang w:val="en-US" w:eastAsia="zh-CN" w:bidi="ar-SA"/>
              </w:rPr>
              <w:t>五”</w:t>
            </w:r>
            <w:r>
              <w:rPr>
                <w:rFonts w:hint="eastAsia" w:ascii="楷体_GB2312" w:hAnsi="楷体_GB2312" w:eastAsia="楷体_GB2312" w:cs="楷体_GB2312"/>
                <w:b/>
                <w:bCs w:val="0"/>
                <w:color w:val="auto"/>
                <w:kern w:val="2"/>
                <w:sz w:val="28"/>
                <w:szCs w:val="28"/>
                <w:highlight w:val="none"/>
                <w:u w:val="none"/>
                <w:shd w:val="clear" w:color="auto" w:fill="FFFFFF"/>
                <w:lang w:val="en-US" w:eastAsia="zh-CN" w:bidi="ar-SA"/>
              </w:rPr>
              <w:t>期间创新宜居美丽城市建设</w:t>
            </w:r>
            <w:r>
              <w:rPr>
                <w:rFonts w:hint="default" w:ascii="楷体_GB2312" w:hAnsi="楷体_GB2312" w:eastAsia="楷体_GB2312" w:cs="楷体_GB2312"/>
                <w:b/>
                <w:bCs w:val="0"/>
                <w:color w:val="auto"/>
                <w:kern w:val="2"/>
                <w:sz w:val="28"/>
                <w:szCs w:val="28"/>
                <w:highlight w:val="none"/>
                <w:u w:val="none"/>
                <w:shd w:val="clear" w:color="auto" w:fill="FFFFFF"/>
                <w:lang w:val="en-US" w:eastAsia="zh-CN" w:bidi="ar-SA"/>
              </w:rPr>
              <w:t>重点项目</w:t>
            </w:r>
          </w:p>
        </w:tc>
      </w:tr>
      <w:tr w14:paraId="0F1622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8543" w:type="dxa"/>
            <w:noWrap w:val="0"/>
            <w:vAlign w:val="center"/>
          </w:tcPr>
          <w:p w14:paraId="2D2C09AB">
            <w:pPr>
              <w:keepNext w:val="0"/>
              <w:keepLines w:val="0"/>
              <w:pageBreakBefore w:val="0"/>
              <w:widowControl w:val="0"/>
              <w:suppressLineNumbers w:val="0"/>
              <w:kinsoku/>
              <w:wordWrap/>
              <w:overflowPunct/>
              <w:topLinePunct w:val="0"/>
              <w:autoSpaceDE/>
              <w:autoSpaceDN/>
              <w:bidi w:val="0"/>
              <w:adjustRightInd w:val="0"/>
              <w:snapToGrid w:val="0"/>
              <w:spacing w:beforeAutospacing="0" w:afterAutospacing="0" w:line="400" w:lineRule="exact"/>
              <w:ind w:left="0" w:right="0" w:firstLine="562" w:firstLineChars="200"/>
              <w:jc w:val="both"/>
              <w:textAlignment w:val="auto"/>
              <w:rPr>
                <w:rFonts w:hint="default" w:ascii="Times New Roman" w:hAnsi="Times New Roman" w:cs="Times New Roman"/>
                <w:color w:val="auto"/>
                <w:kern w:val="0"/>
                <w:sz w:val="28"/>
                <w:szCs w:val="28"/>
                <w:highlight w:val="none"/>
                <w:u w:val="none"/>
                <w:lang w:val="en-US" w:eastAsia="zh-CN"/>
              </w:rPr>
            </w:pPr>
            <w:r>
              <w:rPr>
                <w:rFonts w:hint="eastAsia" w:ascii="Times New Roman" w:hAnsi="Times New Roman" w:eastAsia="仿宋_GB2312" w:cs="Times New Roman"/>
                <w:b/>
                <w:bCs/>
                <w:color w:val="auto"/>
                <w:kern w:val="2"/>
                <w:sz w:val="28"/>
                <w:szCs w:val="28"/>
                <w:highlight w:val="none"/>
                <w:u w:val="none"/>
                <w:lang w:val="en-US" w:eastAsia="zh-CN" w:bidi="ar-SA"/>
              </w:rPr>
              <w:t>重点实施</w:t>
            </w:r>
            <w:r>
              <w:rPr>
                <w:rFonts w:hint="eastAsia" w:ascii="Times New Roman" w:hAnsi="Times New Roman" w:eastAsia="仿宋_GB2312" w:cs="Times New Roman"/>
                <w:b w:val="0"/>
                <w:bCs w:val="0"/>
                <w:color w:val="auto"/>
                <w:kern w:val="2"/>
                <w:sz w:val="28"/>
                <w:szCs w:val="28"/>
                <w:highlight w:val="none"/>
                <w:u w:val="none"/>
                <w:lang w:val="en-US" w:eastAsia="zh-CN" w:bidi="ar-SA"/>
              </w:rPr>
              <w:t>扶沟县城区建筑垃圾资源化利用项目，扶沟县垃圾分类和综合治理项目，扶沟县人民公园提升改造项目，扶沟县湿地公园提升改造项目，扶沟县马村干渠升改造项目，扶沟县城区小街道提升改造项目，扶沟县开发区基础设施建设项目，扶沟县吉祥河、截洪沟、洧水河、城南沟、马谢沟提升改造项目，扶沟县许扶运河提升改造项目，扶沟县古城干渠提升改造项目，扶沟县窦虎营沟涵渠及盖板硬化工程，扶沟县六上沟、八里庙沟提升改造项目，扶沟县开发区路灯更新改造项目，扶沟县城区路灯更新改造项目。</w:t>
            </w:r>
          </w:p>
        </w:tc>
      </w:tr>
    </w:tbl>
    <w:p w14:paraId="3254FCE4">
      <w:pPr>
        <w:keepNext w:val="0"/>
        <w:keepLines w:val="0"/>
        <w:pageBreakBefore w:val="0"/>
        <w:widowControl w:val="0"/>
        <w:kinsoku/>
        <w:wordWrap/>
        <w:overflowPunct/>
        <w:topLinePunct w:val="0"/>
        <w:autoSpaceDE/>
        <w:autoSpaceDN/>
        <w:bidi w:val="0"/>
        <w:adjustRightInd w:val="0"/>
        <w:snapToGrid w:val="0"/>
        <w:spacing w:before="361" w:beforeLines="100" w:after="721" w:afterLines="200" w:line="560" w:lineRule="exact"/>
        <w:ind w:firstLine="643" w:firstLineChars="200"/>
        <w:textAlignment w:val="auto"/>
        <w:rPr>
          <w:rFonts w:hint="default" w:ascii="Times New Roman" w:hAnsi="Times New Roman" w:eastAsia="仿宋_GB2312" w:cs="Times New Roman"/>
          <w:color w:val="auto"/>
          <w:kern w:val="2"/>
          <w:sz w:val="32"/>
          <w:szCs w:val="32"/>
          <w:highlight w:val="none"/>
          <w:u w:val="none"/>
          <w:lang w:val="en-US" w:eastAsia="zh-CN" w:bidi="ar"/>
        </w:rPr>
      </w:pPr>
      <w:r>
        <w:rPr>
          <w:rFonts w:hint="eastAsia" w:ascii="楷体_GB2312" w:hAnsi="楷体_GB2312" w:eastAsia="楷体_GB2312" w:cs="楷体_GB2312"/>
          <w:b/>
          <w:bCs/>
          <w:color w:val="auto"/>
          <w:kern w:val="2"/>
          <w:sz w:val="32"/>
          <w:szCs w:val="32"/>
          <w:highlight w:val="none"/>
          <w:u w:val="none"/>
          <w:lang w:val="en-US" w:eastAsia="zh-CN" w:bidi="ar-SA"/>
        </w:rPr>
        <w:t>建设韧性文明智慧城市。</w:t>
      </w:r>
      <w:r>
        <w:rPr>
          <w:rFonts w:hint="eastAsia" w:ascii="Times New Roman" w:hAnsi="Times New Roman" w:eastAsia="仿宋_GB2312" w:cs="Times New Roman"/>
          <w:color w:val="auto"/>
          <w:kern w:val="2"/>
          <w:sz w:val="32"/>
          <w:szCs w:val="32"/>
          <w:highlight w:val="none"/>
          <w:u w:val="none"/>
          <w:lang w:val="en-US" w:eastAsia="zh-CN" w:bidi="ar"/>
        </w:rPr>
        <w:t>韧性筑基、文明铸魂、智慧赋能，筑牢安全防线、厚植文化根脉、提升治理效能，打造能抵御风险、有文化底蕴、更懂人民需求的现代化城市。</w:t>
      </w:r>
      <w:r>
        <w:rPr>
          <w:rFonts w:hint="eastAsia" w:ascii="Times New Roman" w:hAnsi="Times New Roman" w:eastAsia="仿宋_GB2312" w:cs="Times New Roman"/>
          <w:b/>
          <w:bCs/>
          <w:color w:val="auto"/>
          <w:kern w:val="2"/>
          <w:sz w:val="32"/>
          <w:szCs w:val="32"/>
          <w:highlight w:val="none"/>
          <w:u w:val="none"/>
          <w:lang w:val="en-US" w:eastAsia="zh-CN" w:bidi="ar"/>
        </w:rPr>
        <w:t>建设安全可靠的韧性城市</w:t>
      </w:r>
      <w:r>
        <w:rPr>
          <w:rFonts w:hint="eastAsia" w:ascii="Times New Roman" w:hAnsi="Times New Roman" w:eastAsia="仿宋_GB2312" w:cs="Times New Roman"/>
          <w:color w:val="auto"/>
          <w:kern w:val="2"/>
          <w:sz w:val="32"/>
          <w:szCs w:val="32"/>
          <w:highlight w:val="none"/>
          <w:u w:val="none"/>
          <w:lang w:val="en-US" w:eastAsia="zh-CN" w:bidi="ar"/>
        </w:rPr>
        <w:t>。筑牢城市安全发展底线，实施基础设施生命线工程。推进城市基础设施生命线安全工程建设，统筹雨水、污水、供水、燃气、供热管网建设。推进海绵城市建设，强化内河治理，谋划城区河渠排水护坡工程，提升防洪排涝能力。完善应急管理体系，健全避难场所、物资储备等应急设施，强化自然灾害和公共卫生事件监测预警。加强老旧建筑安全改造，优化环城快速通道等交通网络，构建“平急两用”的城市安全空间格局，保障人民群众生命财产安全。</w:t>
      </w:r>
      <w:r>
        <w:rPr>
          <w:rFonts w:hint="eastAsia" w:ascii="Times New Roman" w:hAnsi="Times New Roman" w:eastAsia="仿宋_GB2312" w:cs="Times New Roman"/>
          <w:b/>
          <w:bCs/>
          <w:color w:val="auto"/>
          <w:kern w:val="2"/>
          <w:sz w:val="32"/>
          <w:szCs w:val="32"/>
          <w:highlight w:val="none"/>
          <w:u w:val="none"/>
          <w:lang w:val="en-US" w:eastAsia="zh-CN" w:bidi="ar"/>
        </w:rPr>
        <w:t>建设崇德向善的文明城市。</w:t>
      </w:r>
      <w:r>
        <w:rPr>
          <w:rFonts w:hint="eastAsia" w:ascii="Times New Roman" w:hAnsi="Times New Roman" w:eastAsia="仿宋_GB2312" w:cs="Times New Roman"/>
          <w:color w:val="auto"/>
          <w:kern w:val="2"/>
          <w:sz w:val="32"/>
          <w:szCs w:val="32"/>
          <w:highlight w:val="none"/>
          <w:u w:val="none"/>
          <w:lang w:val="en-US" w:eastAsia="zh-CN" w:bidi="ar"/>
        </w:rPr>
        <w:t>传承优秀文化基因，培育文明风尚，提升城市文化软实力。弘扬红色文化，深挖吉鸿昌将军爱国主义精神内涵，完善吉鸿昌将军纪念馆、故居等红色教育基地配套，打造爱国主义教育示范基地。传承传统文化，加强大程书院、王氏旧宅等文物保护利用，挖掘理学文化、道家文化底蕴，推动文旅产业创新性发展。培育文明风尚，深化文明城市创建，加强公民道德建设，开展文明村镇、文明家庭等创建活动，营造崇德向善、邻里和睦的社会氛围。丰富文化供给，优化县文化馆、图书馆功能，完善乡镇文化站、村级综合文化服务中心配置，满足群众精神文化需求。</w:t>
      </w:r>
      <w:r>
        <w:rPr>
          <w:rFonts w:hint="eastAsia" w:ascii="Times New Roman" w:hAnsi="Times New Roman" w:eastAsia="仿宋_GB2312" w:cs="Times New Roman"/>
          <w:b/>
          <w:bCs/>
          <w:color w:val="auto"/>
          <w:kern w:val="2"/>
          <w:sz w:val="32"/>
          <w:szCs w:val="32"/>
          <w:highlight w:val="none"/>
          <w:u w:val="none"/>
          <w:lang w:val="en-US" w:eastAsia="zh-CN" w:bidi="ar"/>
        </w:rPr>
        <w:t>建设便捷高效的智慧城市。</w:t>
      </w:r>
      <w:r>
        <w:rPr>
          <w:rFonts w:hint="eastAsia" w:ascii="Times New Roman" w:hAnsi="Times New Roman" w:eastAsia="仿宋_GB2312" w:cs="Times New Roman"/>
          <w:color w:val="auto"/>
          <w:kern w:val="2"/>
          <w:sz w:val="32"/>
          <w:szCs w:val="32"/>
          <w:highlight w:val="none"/>
          <w:u w:val="none"/>
          <w:lang w:val="en-US" w:eastAsia="zh-CN" w:bidi="ar"/>
        </w:rPr>
        <w:t>以数字化转型为抓手，提升城市治理体系和治理能力现代化水平。构建数字基础设施体系，完善6G网络、工业互联网等新型基础设施，建设城市大数据中心，实现政务数据、社会数据互联互通。推进城市治理智能化，深化“互联网+政务服务”，实现高频政务服务事项“一网通办、掌上可办”；建设智慧交通、智慧城管等系统，优化城市交通调度、环境卫生保洁等管理服务，提高城市治理效率。拓展智慧应用场景，推广智慧教育、智慧医疗、智慧养老等应用，建设“桐禾智慧教育平台”升级版，实现远程医疗覆盖所有乡镇卫生院；推进智慧社区建设，实现社区安防、物业服务、便民服务智能化，让城市治理更精细、服务更精准、生活更便捷。</w:t>
      </w:r>
    </w:p>
    <w:tbl>
      <w:tblPr>
        <w:tblStyle w:val="2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43"/>
      </w:tblGrid>
      <w:tr w14:paraId="418303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jc w:val="center"/>
        </w:trPr>
        <w:tc>
          <w:tcPr>
            <w:tcW w:w="8543" w:type="dxa"/>
            <w:noWrap w:val="0"/>
            <w:vAlign w:val="center"/>
          </w:tcPr>
          <w:p w14:paraId="1D0D50EB">
            <w:pPr>
              <w:keepNext w:val="0"/>
              <w:keepLines w:val="0"/>
              <w:pageBreakBefore w:val="0"/>
              <w:widowControl w:val="0"/>
              <w:suppressLineNumbers w:val="0"/>
              <w:kinsoku/>
              <w:wordWrap/>
              <w:overflowPunct/>
              <w:topLinePunct w:val="0"/>
              <w:autoSpaceDE/>
              <w:autoSpaceDN/>
              <w:bidi w:val="0"/>
              <w:adjustRightInd w:val="0"/>
              <w:snapToGrid w:val="0"/>
              <w:spacing w:beforeAutospacing="0" w:afterAutospacing="0" w:line="400" w:lineRule="exact"/>
              <w:ind w:left="0" w:right="0" w:firstLine="0" w:firstLineChars="0"/>
              <w:jc w:val="center"/>
              <w:textAlignment w:val="auto"/>
              <w:rPr>
                <w:rFonts w:hint="default" w:ascii="Times New Roman" w:hAnsi="Times New Roman" w:eastAsia="仿宋" w:cs="Times New Roman"/>
                <w:color w:val="auto"/>
                <w:sz w:val="28"/>
                <w:szCs w:val="28"/>
                <w:highlight w:val="none"/>
                <w:u w:val="none"/>
                <w:shd w:val="clear" w:color="auto" w:fill="FFFFFF"/>
              </w:rPr>
            </w:pPr>
            <w:r>
              <w:rPr>
                <w:rFonts w:hint="eastAsia" w:ascii="楷体_GB2312" w:hAnsi="楷体_GB2312" w:eastAsia="楷体_GB2312" w:cs="楷体_GB2312"/>
                <w:b/>
                <w:bCs w:val="0"/>
                <w:color w:val="auto"/>
                <w:kern w:val="2"/>
                <w:sz w:val="28"/>
                <w:szCs w:val="28"/>
                <w:highlight w:val="none"/>
                <w:u w:val="none"/>
                <w:shd w:val="clear" w:color="auto" w:fill="FFFFFF"/>
                <w:lang w:val="en-US" w:eastAsia="zh-CN" w:bidi="ar-SA"/>
              </w:rPr>
              <w:t>专栏7-4：“十五五”期间韧性文明智慧城市建设重点项目</w:t>
            </w:r>
          </w:p>
        </w:tc>
      </w:tr>
      <w:tr w14:paraId="6D5DCA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8543" w:type="dxa"/>
            <w:noWrap w:val="0"/>
            <w:vAlign w:val="center"/>
          </w:tcPr>
          <w:p w14:paraId="194BAF39">
            <w:pPr>
              <w:keepNext w:val="0"/>
              <w:keepLines w:val="0"/>
              <w:pageBreakBefore w:val="0"/>
              <w:widowControl w:val="0"/>
              <w:suppressLineNumbers w:val="0"/>
              <w:kinsoku/>
              <w:wordWrap/>
              <w:overflowPunct/>
              <w:topLinePunct w:val="0"/>
              <w:autoSpaceDE/>
              <w:autoSpaceDN/>
              <w:bidi w:val="0"/>
              <w:adjustRightInd w:val="0"/>
              <w:snapToGrid w:val="0"/>
              <w:spacing w:beforeAutospacing="0" w:afterAutospacing="0" w:line="400" w:lineRule="exact"/>
              <w:ind w:left="0" w:right="0" w:firstLine="562" w:firstLineChars="200"/>
              <w:jc w:val="both"/>
              <w:textAlignment w:val="auto"/>
              <w:rPr>
                <w:rFonts w:hint="default" w:ascii="Times New Roman" w:hAnsi="Times New Roman" w:eastAsia="仿宋_GB2312" w:cs="Times New Roman"/>
                <w:b w:val="0"/>
                <w:bCs w:val="0"/>
                <w:color w:val="auto"/>
                <w:kern w:val="2"/>
                <w:sz w:val="28"/>
                <w:szCs w:val="28"/>
                <w:highlight w:val="none"/>
                <w:u w:val="none"/>
                <w:lang w:val="en-US" w:eastAsia="zh-CN" w:bidi="ar-SA"/>
              </w:rPr>
            </w:pPr>
            <w:r>
              <w:rPr>
                <w:rFonts w:hint="eastAsia" w:ascii="Times New Roman" w:hAnsi="Times New Roman" w:eastAsia="仿宋_GB2312" w:cs="Times New Roman"/>
                <w:b/>
                <w:bCs/>
                <w:color w:val="auto"/>
                <w:kern w:val="2"/>
                <w:sz w:val="28"/>
                <w:szCs w:val="28"/>
                <w:highlight w:val="none"/>
                <w:u w:val="none"/>
                <w:lang w:val="en-US" w:eastAsia="zh-CN" w:bidi="ar-SA"/>
              </w:rPr>
              <w:t>重点实施</w:t>
            </w:r>
            <w:r>
              <w:rPr>
                <w:rFonts w:hint="eastAsia" w:ascii="Times New Roman" w:hAnsi="Times New Roman" w:eastAsia="仿宋_GB2312" w:cs="Times New Roman"/>
                <w:b w:val="0"/>
                <w:bCs w:val="0"/>
                <w:color w:val="auto"/>
                <w:kern w:val="2"/>
                <w:sz w:val="28"/>
                <w:szCs w:val="28"/>
                <w:highlight w:val="none"/>
                <w:u w:val="none"/>
                <w:lang w:val="en-US" w:eastAsia="zh-CN" w:bidi="ar-SA"/>
              </w:rPr>
              <w:t>扶沟县智慧停车场建设项目（续建）</w:t>
            </w:r>
          </w:p>
        </w:tc>
      </w:tr>
    </w:tbl>
    <w:p w14:paraId="3334605D">
      <w:pPr>
        <w:keepNext/>
        <w:keepLines/>
        <w:pageBreakBefore w:val="0"/>
        <w:widowControl w:val="0"/>
        <w:numPr>
          <w:ilvl w:val="0"/>
          <w:numId w:val="0"/>
        </w:numPr>
        <w:kinsoku/>
        <w:wordWrap/>
        <w:overflowPunct/>
        <w:topLinePunct w:val="0"/>
        <w:autoSpaceDE/>
        <w:autoSpaceDN/>
        <w:bidi w:val="0"/>
        <w:adjustRightInd w:val="0"/>
        <w:snapToGrid w:val="0"/>
        <w:spacing w:before="541" w:beforeLines="150" w:after="156" w:afterLines="50" w:line="560" w:lineRule="exact"/>
        <w:ind w:leftChars="0"/>
        <w:jc w:val="center"/>
        <w:textAlignment w:val="auto"/>
        <w:outlineLvl w:val="2"/>
        <w:rPr>
          <w:rFonts w:hint="eastAsia" w:ascii="Times New Roman" w:hAnsi="Times New Roman" w:eastAsia="黑体" w:cs="Times New Roman"/>
          <w:b/>
          <w:bCs/>
          <w:color w:val="auto"/>
          <w:kern w:val="2"/>
          <w:sz w:val="32"/>
          <w:szCs w:val="32"/>
          <w:highlight w:val="none"/>
          <w:u w:val="none"/>
          <w:lang w:val="en-US" w:eastAsia="zh-CN" w:bidi="ar-SA"/>
        </w:rPr>
      </w:pPr>
      <w:bookmarkStart w:id="171" w:name="_Toc6200"/>
      <w:bookmarkStart w:id="172" w:name="_Toc31581"/>
      <w:bookmarkStart w:id="173" w:name="_Toc1099"/>
      <w:r>
        <w:rPr>
          <w:rFonts w:hint="eastAsia" w:ascii="Times New Roman" w:hAnsi="Times New Roman" w:eastAsia="黑体" w:cs="Times New Roman"/>
          <w:b/>
          <w:bCs/>
          <w:color w:val="auto"/>
          <w:kern w:val="2"/>
          <w:sz w:val="32"/>
          <w:szCs w:val="32"/>
          <w:highlight w:val="none"/>
          <w:u w:val="none"/>
          <w:lang w:val="en-US" w:eastAsia="zh-CN" w:bidi="ar-SA"/>
        </w:rPr>
        <w:t>第四节协同推进城乡融合</w:t>
      </w:r>
      <w:bookmarkEnd w:id="171"/>
      <w:bookmarkEnd w:id="172"/>
      <w:bookmarkEnd w:id="173"/>
    </w:p>
    <w:p w14:paraId="056A237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Times New Roman" w:hAnsi="Times New Roman" w:eastAsia="仿宋_GB2312" w:cs="Times New Roman"/>
          <w:color w:val="auto"/>
          <w:kern w:val="2"/>
          <w:sz w:val="32"/>
          <w:szCs w:val="32"/>
          <w:highlight w:val="none"/>
          <w:u w:val="none"/>
          <w:lang w:val="en-US" w:eastAsia="zh-CN" w:bidi="ar"/>
        </w:rPr>
        <w:t>构建城乡融合发展体制机制新框架，打破城乡二元结构壁垒，通过制度变革推动城乡要素高效配置、功能有机融合，初步形成要素流动更加顺畅，公共服务差距显著缩小，全域协同、共建共享的现代化城乡发展新格局。</w:t>
      </w:r>
    </w:p>
    <w:p w14:paraId="7F79D02B">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楷体_GB2312" w:hAnsi="楷体_GB2312" w:eastAsia="楷体_GB2312" w:cs="楷体_GB2312"/>
          <w:b/>
          <w:bCs/>
          <w:color w:val="auto"/>
          <w:kern w:val="2"/>
          <w:sz w:val="32"/>
          <w:szCs w:val="32"/>
          <w:u w:val="none"/>
          <w:lang w:val="en-US" w:eastAsia="zh-CN" w:bidi="ar-SA"/>
        </w:rPr>
        <w:t>建立城乡要素双向流动机制。</w:t>
      </w:r>
      <w:r>
        <w:rPr>
          <w:rFonts w:hint="eastAsia" w:ascii="Times New Roman" w:hAnsi="Times New Roman" w:eastAsia="仿宋_GB2312" w:cs="Times New Roman"/>
          <w:color w:val="auto"/>
          <w:kern w:val="2"/>
          <w:sz w:val="32"/>
          <w:szCs w:val="32"/>
          <w:highlight w:val="none"/>
          <w:u w:val="none"/>
          <w:lang w:val="en-US" w:eastAsia="zh-CN" w:bidi="ar"/>
        </w:rPr>
        <w:t>深化农村土地制度改革，完善城乡建设用地增减挂钩政策，建立健全集体经营性建设用地入市制度。创新城乡人才交流机制，畅通人才在城乡间职业转换通道。完善城乡金融资源配置机制，引导金融机构加大对农村信贷支持力度，探索农村产权抵押融资模式，推动社会资本有序投入乡村建设。</w:t>
      </w:r>
    </w:p>
    <w:p w14:paraId="0AB646F1">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楷体_GB2312" w:hAnsi="楷体_GB2312" w:eastAsia="楷体_GB2312" w:cs="楷体_GB2312"/>
          <w:b/>
          <w:bCs/>
          <w:color w:val="auto"/>
          <w:kern w:val="2"/>
          <w:sz w:val="32"/>
          <w:szCs w:val="32"/>
          <w:u w:val="none"/>
          <w:lang w:val="en-US" w:eastAsia="zh-CN" w:bidi="ar-SA"/>
        </w:rPr>
        <w:t>健全城乡协同治理机制。</w:t>
      </w:r>
      <w:r>
        <w:rPr>
          <w:rFonts w:hint="eastAsia" w:ascii="Times New Roman" w:hAnsi="Times New Roman" w:eastAsia="仿宋_GB2312" w:cs="Times New Roman"/>
          <w:color w:val="auto"/>
          <w:kern w:val="2"/>
          <w:sz w:val="32"/>
          <w:szCs w:val="32"/>
          <w:highlight w:val="none"/>
          <w:u w:val="none"/>
          <w:lang w:val="en-US" w:eastAsia="zh-CN" w:bidi="ar"/>
        </w:rPr>
        <w:t>构建“县级统筹、乡镇主责、村级落实”的城乡治理层级体系，形成权责清晰、协同高效的治理格局。创新“党建引领+城乡联动”治理模式，推动城市社区与农村村庄结对共建。</w:t>
      </w:r>
    </w:p>
    <w:p w14:paraId="2B3EE65B">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楷体_GB2312" w:hAnsi="楷体_GB2312" w:eastAsia="楷体_GB2312" w:cs="楷体_GB2312"/>
          <w:b/>
          <w:bCs/>
          <w:color w:val="auto"/>
          <w:kern w:val="2"/>
          <w:sz w:val="32"/>
          <w:szCs w:val="32"/>
          <w:u w:val="none"/>
          <w:lang w:val="en-US" w:eastAsia="zh-CN" w:bidi="ar-SA"/>
        </w:rPr>
        <w:t>完善城乡公共服务均等化机制。</w:t>
      </w:r>
      <w:r>
        <w:rPr>
          <w:rFonts w:hint="eastAsia" w:ascii="Times New Roman" w:hAnsi="Times New Roman" w:eastAsia="仿宋_GB2312" w:cs="Times New Roman"/>
          <w:color w:val="auto"/>
          <w:kern w:val="2"/>
          <w:sz w:val="32"/>
          <w:szCs w:val="32"/>
          <w:highlight w:val="none"/>
          <w:u w:val="none"/>
          <w:lang w:val="en-US" w:eastAsia="zh-CN" w:bidi="ar"/>
        </w:rPr>
        <w:t>建立城乡教育资源均衡配置机制，促进城乡教师双向交流，深化县域义务教育共同体建设，缩小城乡教育差距。健全城乡医疗卫生协同发展机制，完善分级诊疗制度，推动优质医疗资源向农村延伸。建立城乡社保服务衔接机制，统一城乡居民基本养老、医疗保险政策，完善城乡社会救助一体化体系。</w:t>
      </w:r>
    </w:p>
    <w:p w14:paraId="33B4B540">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楷体_GB2312" w:hAnsi="楷体_GB2312" w:eastAsia="楷体_GB2312" w:cs="楷体_GB2312"/>
          <w:b/>
          <w:bCs/>
          <w:color w:val="auto"/>
          <w:kern w:val="2"/>
          <w:sz w:val="32"/>
          <w:szCs w:val="32"/>
          <w:u w:val="none"/>
          <w:lang w:val="en-US" w:eastAsia="zh-CN" w:bidi="ar-SA"/>
        </w:rPr>
        <w:t>完善城乡基础设施共建共享机制。</w:t>
      </w:r>
      <w:r>
        <w:rPr>
          <w:rFonts w:hint="eastAsia" w:ascii="Times New Roman" w:hAnsi="Times New Roman" w:eastAsia="仿宋_GB2312" w:cs="Times New Roman"/>
          <w:color w:val="auto"/>
          <w:kern w:val="2"/>
          <w:sz w:val="32"/>
          <w:szCs w:val="32"/>
          <w:highlight w:val="none"/>
          <w:u w:val="none"/>
          <w:lang w:val="en-US" w:eastAsia="zh-CN" w:bidi="ar"/>
        </w:rPr>
        <w:t>建立健全城乡基础设施管护经费保障机制，确保设施长期稳定运行。建立城乡产业协同发展机制，培育乡村特色产业，推动城乡产业优势互补、融合发展。</w:t>
      </w:r>
    </w:p>
    <w:p w14:paraId="2EFE6EE9">
      <w:pPr>
        <w:keepNext/>
        <w:keepLines/>
        <w:pageBreakBefore w:val="0"/>
        <w:widowControl w:val="0"/>
        <w:numPr>
          <w:ilvl w:val="0"/>
          <w:numId w:val="0"/>
        </w:numPr>
        <w:kinsoku/>
        <w:wordWrap/>
        <w:overflowPunct/>
        <w:topLinePunct w:val="0"/>
        <w:autoSpaceDE/>
        <w:autoSpaceDN/>
        <w:bidi w:val="0"/>
        <w:adjustRightInd w:val="0"/>
        <w:snapToGrid w:val="0"/>
        <w:spacing w:before="541" w:beforeLines="150" w:after="439" w:afterLines="100" w:line="560" w:lineRule="exact"/>
        <w:ind w:leftChars="0"/>
        <w:jc w:val="center"/>
        <w:textAlignment w:val="auto"/>
        <w:outlineLvl w:val="1"/>
        <w:rPr>
          <w:rFonts w:hint="eastAsia" w:ascii="Times New Roman" w:hAnsi="Times New Roman" w:eastAsia="方正小标宋_GBK" w:cs="Times New Roman"/>
          <w:b/>
          <w:color w:val="auto"/>
          <w:kern w:val="2"/>
          <w:sz w:val="36"/>
          <w:szCs w:val="36"/>
          <w:highlight w:val="none"/>
          <w:u w:val="none"/>
          <w:lang w:val="en-US" w:eastAsia="zh-CN" w:bidi="ar-SA"/>
        </w:rPr>
      </w:pPr>
      <w:bookmarkStart w:id="174" w:name="_Toc29685"/>
      <w:bookmarkStart w:id="175" w:name="_Toc5904"/>
      <w:bookmarkStart w:id="176" w:name="_Toc32178"/>
      <w:r>
        <w:rPr>
          <w:rFonts w:hint="eastAsia" w:ascii="Times New Roman" w:hAnsi="Times New Roman" w:eastAsia="方正小标宋_GBK" w:cs="Times New Roman"/>
          <w:b/>
          <w:color w:val="auto"/>
          <w:kern w:val="2"/>
          <w:sz w:val="36"/>
          <w:szCs w:val="36"/>
          <w:highlight w:val="none"/>
          <w:u w:val="none"/>
          <w:lang w:val="en-US" w:eastAsia="zh-CN" w:bidi="ar-SA"/>
        </w:rPr>
        <w:t>第八章厚植生态底色，建设</w:t>
      </w:r>
      <w:bookmarkEnd w:id="174"/>
      <w:r>
        <w:rPr>
          <w:rFonts w:hint="eastAsia" w:ascii="Times New Roman" w:hAnsi="Times New Roman" w:eastAsia="方正小标宋_GBK" w:cs="Times New Roman"/>
          <w:b/>
          <w:color w:val="auto"/>
          <w:kern w:val="2"/>
          <w:sz w:val="36"/>
          <w:szCs w:val="36"/>
          <w:highlight w:val="none"/>
          <w:u w:val="none"/>
          <w:lang w:val="en-US" w:eastAsia="zh-CN" w:bidi="ar-SA"/>
        </w:rPr>
        <w:t>绿色低碳美丽家园</w:t>
      </w:r>
      <w:bookmarkEnd w:id="175"/>
      <w:bookmarkEnd w:id="176"/>
    </w:p>
    <w:p w14:paraId="1AC08B4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Times New Roman" w:hAnsi="Times New Roman" w:eastAsia="仿宋_GB2312" w:cs="Times New Roman"/>
          <w:color w:val="auto"/>
          <w:kern w:val="2"/>
          <w:sz w:val="32"/>
          <w:szCs w:val="32"/>
          <w:highlight w:val="none"/>
          <w:u w:val="none"/>
          <w:lang w:val="en-US" w:eastAsia="zh-CN" w:bidi="ar"/>
        </w:rPr>
        <w:t>深入践行“绿水青山就是金山银山”理念，坚持生态优先、绿色发展，统筹山水林田湖草沙系统治理，持续改善生态环境质量，提升生态系统质量和稳定性，打造人与自然和谐共生的生态文明示范城市。</w:t>
      </w:r>
    </w:p>
    <w:p w14:paraId="7DF8A670">
      <w:pPr>
        <w:keepNext/>
        <w:keepLines/>
        <w:pageBreakBefore w:val="0"/>
        <w:widowControl w:val="0"/>
        <w:numPr>
          <w:ilvl w:val="0"/>
          <w:numId w:val="0"/>
        </w:numPr>
        <w:kinsoku/>
        <w:wordWrap/>
        <w:overflowPunct/>
        <w:topLinePunct w:val="0"/>
        <w:autoSpaceDE/>
        <w:autoSpaceDN/>
        <w:bidi w:val="0"/>
        <w:adjustRightInd w:val="0"/>
        <w:snapToGrid w:val="0"/>
        <w:spacing w:before="156" w:beforeLines="50" w:after="156" w:afterLines="50" w:line="560" w:lineRule="exact"/>
        <w:ind w:leftChars="0"/>
        <w:jc w:val="center"/>
        <w:textAlignment w:val="auto"/>
        <w:outlineLvl w:val="2"/>
        <w:rPr>
          <w:rFonts w:hint="eastAsia" w:ascii="Times New Roman" w:hAnsi="Times New Roman" w:eastAsia="黑体" w:cs="Times New Roman"/>
          <w:b/>
          <w:bCs/>
          <w:color w:val="auto"/>
          <w:kern w:val="2"/>
          <w:sz w:val="32"/>
          <w:szCs w:val="32"/>
          <w:highlight w:val="none"/>
          <w:u w:val="none"/>
          <w:lang w:val="en-US" w:eastAsia="zh-CN" w:bidi="ar-SA"/>
        </w:rPr>
      </w:pPr>
      <w:bookmarkStart w:id="177" w:name="_Toc17033"/>
      <w:bookmarkStart w:id="178" w:name="_Toc29437"/>
      <w:bookmarkStart w:id="179" w:name="_Toc30924"/>
      <w:r>
        <w:rPr>
          <w:rFonts w:hint="eastAsia" w:ascii="Times New Roman" w:hAnsi="Times New Roman" w:eastAsia="黑体" w:cs="Times New Roman"/>
          <w:b/>
          <w:bCs/>
          <w:color w:val="auto"/>
          <w:kern w:val="2"/>
          <w:sz w:val="32"/>
          <w:szCs w:val="32"/>
          <w:highlight w:val="none"/>
          <w:u w:val="none"/>
          <w:lang w:val="en-US" w:eastAsia="zh-CN" w:bidi="ar-SA"/>
        </w:rPr>
        <w:t>第一节筑牢生态屏障</w:t>
      </w:r>
      <w:bookmarkEnd w:id="177"/>
      <w:bookmarkEnd w:id="178"/>
      <w:bookmarkEnd w:id="179"/>
    </w:p>
    <w:p w14:paraId="634A8DF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color w:val="auto"/>
          <w:kern w:val="2"/>
          <w:sz w:val="32"/>
          <w:szCs w:val="32"/>
          <w:highlight w:val="none"/>
          <w:u w:val="none"/>
          <w:lang w:val="en-US" w:eastAsia="zh-CN" w:bidi="ar"/>
        </w:rPr>
      </w:pPr>
      <w:r>
        <w:rPr>
          <w:rFonts w:hint="default" w:ascii="Times New Roman" w:hAnsi="Times New Roman" w:eastAsia="仿宋_GB2312" w:cs="Times New Roman"/>
          <w:color w:val="auto"/>
          <w:kern w:val="2"/>
          <w:sz w:val="32"/>
          <w:szCs w:val="32"/>
          <w:highlight w:val="none"/>
          <w:u w:val="none"/>
          <w:lang w:val="en-US" w:eastAsia="zh-CN" w:bidi="ar"/>
        </w:rPr>
        <w:t>立足</w:t>
      </w:r>
      <w:r>
        <w:rPr>
          <w:rFonts w:hint="eastAsia" w:ascii="Times New Roman" w:hAnsi="Times New Roman" w:eastAsia="仿宋_GB2312" w:cs="Times New Roman"/>
          <w:color w:val="auto"/>
          <w:kern w:val="2"/>
          <w:sz w:val="32"/>
          <w:szCs w:val="32"/>
          <w:highlight w:val="none"/>
          <w:u w:val="none"/>
          <w:lang w:val="en-US" w:eastAsia="zh-CN" w:bidi="ar"/>
        </w:rPr>
        <w:t>县域</w:t>
      </w:r>
      <w:r>
        <w:rPr>
          <w:rFonts w:hint="default" w:ascii="Times New Roman" w:hAnsi="Times New Roman" w:eastAsia="仿宋_GB2312" w:cs="Times New Roman"/>
          <w:color w:val="auto"/>
          <w:kern w:val="2"/>
          <w:sz w:val="32"/>
          <w:szCs w:val="32"/>
          <w:highlight w:val="none"/>
          <w:u w:val="none"/>
          <w:lang w:val="en-US" w:eastAsia="zh-CN" w:bidi="ar"/>
        </w:rPr>
        <w:t>生态资源禀赋，通过加强生态保护修复、推进生态廊道建设、强化生态环境监管，构建多层次、立体化的生态安全格局。</w:t>
      </w:r>
    </w:p>
    <w:p w14:paraId="6FAE580C">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default" w:ascii="Times New Roman" w:hAnsi="Times New Roman" w:eastAsia="仿宋_GB2312" w:cs="Times New Roman"/>
          <w:color w:val="auto"/>
          <w:kern w:val="2"/>
          <w:sz w:val="32"/>
          <w:szCs w:val="32"/>
          <w:highlight w:val="none"/>
          <w:u w:val="none"/>
          <w:lang w:val="en-US" w:eastAsia="zh-CN" w:bidi="ar"/>
        </w:rPr>
      </w:pPr>
      <w:r>
        <w:rPr>
          <w:rFonts w:hint="default" w:ascii="楷体_GB2312" w:hAnsi="楷体_GB2312" w:eastAsia="楷体_GB2312" w:cs="楷体_GB2312"/>
          <w:b/>
          <w:bCs/>
          <w:color w:val="auto"/>
          <w:kern w:val="2"/>
          <w:sz w:val="32"/>
          <w:szCs w:val="32"/>
          <w:u w:val="none"/>
          <w:lang w:val="en-US" w:eastAsia="zh-CN" w:bidi="ar-SA"/>
        </w:rPr>
        <w:t>加强生态保护修复</w:t>
      </w:r>
      <w:r>
        <w:rPr>
          <w:rFonts w:hint="eastAsia" w:ascii="楷体_GB2312" w:hAnsi="楷体_GB2312" w:eastAsia="楷体_GB2312" w:cs="楷体_GB2312"/>
          <w:b/>
          <w:bCs/>
          <w:color w:val="auto"/>
          <w:kern w:val="2"/>
          <w:sz w:val="32"/>
          <w:szCs w:val="32"/>
          <w:u w:val="none"/>
          <w:lang w:val="en-US" w:eastAsia="zh-CN" w:bidi="ar-SA"/>
        </w:rPr>
        <w:t>。</w:t>
      </w:r>
      <w:r>
        <w:rPr>
          <w:rFonts w:hint="eastAsia" w:ascii="Times New Roman" w:hAnsi="Times New Roman" w:eastAsia="仿宋_GB2312" w:cs="Times New Roman"/>
          <w:color w:val="auto"/>
          <w:kern w:val="2"/>
          <w:sz w:val="32"/>
          <w:szCs w:val="32"/>
          <w:highlight w:val="none"/>
          <w:u w:val="none"/>
          <w:lang w:val="en-US" w:eastAsia="zh-CN" w:bidi="ar"/>
        </w:rPr>
        <w:t>实施重要生态系统保护和修复重大工程，重点加强县域内主要河流水系、饮用水水源地的生态保护与治理。推进国土绿化行动，强化森林资源的培育与管护，提升自然生态系统质量和稳定性。开展土壤污染源头防控与治理修复，保障农产品质量和人居环境安全。</w:t>
      </w:r>
    </w:p>
    <w:p w14:paraId="43DFC8BA">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default" w:ascii="Times New Roman" w:hAnsi="Times New Roman" w:eastAsia="仿宋_GB2312" w:cs="Times New Roman"/>
          <w:color w:val="auto"/>
          <w:kern w:val="2"/>
          <w:sz w:val="32"/>
          <w:szCs w:val="32"/>
          <w:highlight w:val="none"/>
          <w:u w:val="none"/>
          <w:lang w:val="en-US" w:eastAsia="zh-CN" w:bidi="ar"/>
        </w:rPr>
      </w:pPr>
      <w:r>
        <w:rPr>
          <w:rFonts w:hint="default" w:ascii="楷体_GB2312" w:hAnsi="楷体_GB2312" w:eastAsia="楷体_GB2312" w:cs="楷体_GB2312"/>
          <w:b/>
          <w:bCs/>
          <w:color w:val="auto"/>
          <w:kern w:val="2"/>
          <w:sz w:val="32"/>
          <w:szCs w:val="32"/>
          <w:u w:val="none"/>
          <w:lang w:val="en-US" w:eastAsia="zh-CN" w:bidi="ar-SA"/>
        </w:rPr>
        <w:t>推进生态廊道建设</w:t>
      </w:r>
      <w:r>
        <w:rPr>
          <w:rFonts w:hint="eastAsia" w:ascii="楷体_GB2312" w:hAnsi="楷体_GB2312" w:eastAsia="楷体_GB2312" w:cs="楷体_GB2312"/>
          <w:b/>
          <w:bCs/>
          <w:color w:val="auto"/>
          <w:kern w:val="2"/>
          <w:sz w:val="32"/>
          <w:szCs w:val="32"/>
          <w:u w:val="none"/>
          <w:lang w:val="en-US" w:eastAsia="zh-CN" w:bidi="ar-SA"/>
        </w:rPr>
        <w:t>。</w:t>
      </w:r>
      <w:r>
        <w:rPr>
          <w:rFonts w:hint="eastAsia" w:ascii="Times New Roman" w:hAnsi="Times New Roman" w:eastAsia="仿宋_GB2312" w:cs="Times New Roman"/>
          <w:color w:val="auto"/>
          <w:kern w:val="2"/>
          <w:sz w:val="32"/>
          <w:szCs w:val="32"/>
          <w:highlight w:val="none"/>
          <w:u w:val="none"/>
          <w:lang w:val="en-US" w:eastAsia="zh-CN" w:bidi="ar"/>
        </w:rPr>
        <w:t>依托主要河流、交通干线绿带，构建贯通县域的蓝绿生态廊道体系。重点推进沿贾鲁河、清水河等骨干河流的生态廊道建设，增强河岸带生态功能，串联沿线林地、湿地、农田等生态空间，促进生态系统的连通性和生物多样性保护，形成连续、完整的生态网络。</w:t>
      </w:r>
    </w:p>
    <w:p w14:paraId="07A86587">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default" w:ascii="楷体_GB2312" w:hAnsi="楷体_GB2312" w:eastAsia="楷体_GB2312" w:cs="楷体_GB2312"/>
          <w:b/>
          <w:bCs/>
          <w:color w:val="auto"/>
          <w:kern w:val="2"/>
          <w:sz w:val="32"/>
          <w:szCs w:val="32"/>
          <w:u w:val="none"/>
          <w:lang w:val="en-US" w:eastAsia="zh-CN" w:bidi="ar-SA"/>
        </w:rPr>
        <w:t>加强生态环境监管</w:t>
      </w:r>
      <w:r>
        <w:rPr>
          <w:rFonts w:hint="eastAsia" w:ascii="楷体_GB2312" w:hAnsi="楷体_GB2312" w:eastAsia="楷体_GB2312" w:cs="楷体_GB2312"/>
          <w:b/>
          <w:bCs/>
          <w:color w:val="auto"/>
          <w:kern w:val="2"/>
          <w:sz w:val="32"/>
          <w:szCs w:val="32"/>
          <w:u w:val="none"/>
          <w:lang w:val="en-US" w:eastAsia="zh-CN" w:bidi="ar-SA"/>
        </w:rPr>
        <w:t>。</w:t>
      </w:r>
      <w:r>
        <w:rPr>
          <w:rFonts w:hint="eastAsia" w:ascii="Times New Roman" w:hAnsi="Times New Roman" w:eastAsia="仿宋_GB2312" w:cs="Times New Roman"/>
          <w:b/>
          <w:bCs/>
          <w:color w:val="auto"/>
          <w:kern w:val="2"/>
          <w:sz w:val="32"/>
          <w:szCs w:val="32"/>
          <w:highlight w:val="none"/>
          <w:u w:val="none"/>
          <w:lang w:val="en-US" w:eastAsia="zh-CN" w:bidi="ar"/>
        </w:rPr>
        <w:t>推进监测站标准化建设，</w:t>
      </w:r>
      <w:r>
        <w:rPr>
          <w:rFonts w:hint="eastAsia" w:ascii="Times New Roman" w:hAnsi="Times New Roman" w:eastAsia="仿宋_GB2312" w:cs="Times New Roman"/>
          <w:color w:val="auto"/>
          <w:kern w:val="2"/>
          <w:sz w:val="32"/>
          <w:szCs w:val="32"/>
          <w:highlight w:val="none"/>
          <w:u w:val="none"/>
          <w:lang w:val="en-US" w:eastAsia="zh-CN" w:bidi="ar"/>
        </w:rPr>
        <w:t>按3级站标准完成业务用房修缮，配套实验室通风与废液处理设施，配备气相色谱质谱联用仪等设备，建立非靶向筛查技术体系。</w:t>
      </w:r>
      <w:r>
        <w:rPr>
          <w:rFonts w:hint="eastAsia" w:ascii="Times New Roman" w:hAnsi="Times New Roman" w:eastAsia="仿宋_GB2312" w:cs="Times New Roman"/>
          <w:b/>
          <w:bCs/>
          <w:color w:val="auto"/>
          <w:kern w:val="2"/>
          <w:sz w:val="32"/>
          <w:szCs w:val="32"/>
          <w:highlight w:val="none"/>
          <w:u w:val="none"/>
          <w:lang w:val="en-US" w:eastAsia="zh-CN" w:bidi="ar"/>
        </w:rPr>
        <w:t>织密智能监测网络，</w:t>
      </w:r>
      <w:r>
        <w:rPr>
          <w:rFonts w:hint="eastAsia" w:ascii="Times New Roman" w:hAnsi="Times New Roman" w:eastAsia="仿宋_GB2312" w:cs="Times New Roman"/>
          <w:color w:val="auto"/>
          <w:kern w:val="2"/>
          <w:sz w:val="32"/>
          <w:szCs w:val="32"/>
          <w:highlight w:val="none"/>
          <w:u w:val="none"/>
          <w:lang w:val="en-US" w:eastAsia="zh-CN" w:bidi="ar"/>
        </w:rPr>
        <w:t>优化空气、水、土壤监测点位，新增农业面源专项监测点，实施气象监测站网工程，实现观测站网密度由8.84公里提高至5公里，推进在线监控、用电监管、视频监控融合应用。</w:t>
      </w:r>
      <w:r>
        <w:rPr>
          <w:rFonts w:hint="eastAsia" w:ascii="Times New Roman" w:hAnsi="Times New Roman" w:eastAsia="仿宋_GB2312" w:cs="Times New Roman"/>
          <w:b/>
          <w:bCs/>
          <w:color w:val="auto"/>
          <w:kern w:val="2"/>
          <w:sz w:val="32"/>
          <w:szCs w:val="32"/>
          <w:highlight w:val="none"/>
          <w:u w:val="none"/>
          <w:lang w:val="en-US" w:eastAsia="zh-CN" w:bidi="ar"/>
        </w:rPr>
        <w:t>强化执法与应急能力，</w:t>
      </w:r>
      <w:r>
        <w:rPr>
          <w:rFonts w:hint="eastAsia" w:ascii="Times New Roman" w:hAnsi="Times New Roman" w:eastAsia="仿宋_GB2312" w:cs="Times New Roman"/>
          <w:color w:val="auto"/>
          <w:kern w:val="2"/>
          <w:sz w:val="32"/>
          <w:szCs w:val="32"/>
          <w:highlight w:val="none"/>
          <w:u w:val="none"/>
          <w:lang w:val="en-US" w:eastAsia="zh-CN" w:bidi="ar"/>
        </w:rPr>
        <w:t>建立“监测-执法-监管”联动机制，加强排污单位自行监测监管，储备重金属吸附剂等应急物资。</w:t>
      </w:r>
      <w:r>
        <w:rPr>
          <w:rFonts w:hint="eastAsia" w:ascii="Times New Roman" w:hAnsi="Times New Roman" w:eastAsia="仿宋_GB2312" w:cs="Times New Roman"/>
          <w:b/>
          <w:bCs/>
          <w:color w:val="auto"/>
          <w:kern w:val="2"/>
          <w:sz w:val="32"/>
          <w:szCs w:val="32"/>
          <w:highlight w:val="none"/>
          <w:u w:val="none"/>
          <w:lang w:val="en-US" w:eastAsia="zh-CN" w:bidi="ar"/>
        </w:rPr>
        <w:t>培育专业队伍，</w:t>
      </w:r>
      <w:r>
        <w:rPr>
          <w:rFonts w:hint="eastAsia" w:ascii="Times New Roman" w:hAnsi="Times New Roman" w:eastAsia="仿宋_GB2312" w:cs="Times New Roman"/>
          <w:color w:val="auto"/>
          <w:kern w:val="2"/>
          <w:sz w:val="32"/>
          <w:szCs w:val="32"/>
          <w:highlight w:val="none"/>
          <w:u w:val="none"/>
          <w:lang w:val="en-US" w:eastAsia="zh-CN" w:bidi="ar"/>
        </w:rPr>
        <w:t>通过“一对一”帮扶与“一人多证”培训，补齐人才短板。</w:t>
      </w:r>
    </w:p>
    <w:p w14:paraId="5A3F18AF">
      <w:pPr>
        <w:keepNext w:val="0"/>
        <w:keepLines w:val="0"/>
        <w:pageBreakBefore w:val="0"/>
        <w:widowControl w:val="0"/>
        <w:kinsoku/>
        <w:wordWrap/>
        <w:overflowPunct/>
        <w:topLinePunct w:val="0"/>
        <w:autoSpaceDE/>
        <w:autoSpaceDN/>
        <w:bidi w:val="0"/>
        <w:adjustRightInd w:val="0"/>
        <w:snapToGrid w:val="0"/>
        <w:spacing w:after="721" w:afterLines="200" w:line="560" w:lineRule="exact"/>
        <w:ind w:firstLine="640" w:firstLineChars="200"/>
        <w:textAlignment w:val="auto"/>
        <w:rPr>
          <w:rFonts w:hint="default" w:ascii="Times New Roman" w:hAnsi="Times New Roman" w:eastAsia="仿宋_GB2312" w:cs="Times New Roman"/>
          <w:color w:val="auto"/>
          <w:kern w:val="2"/>
          <w:sz w:val="32"/>
          <w:szCs w:val="32"/>
          <w:highlight w:val="none"/>
          <w:u w:val="none"/>
          <w:lang w:val="en-US" w:eastAsia="zh-CN" w:bidi="ar"/>
        </w:rPr>
      </w:pPr>
      <w:r>
        <w:rPr>
          <w:rFonts w:hint="eastAsia" w:ascii="Times New Roman" w:hAnsi="Times New Roman" w:eastAsia="仿宋_GB2312" w:cs="Times New Roman"/>
          <w:color w:val="auto"/>
          <w:kern w:val="2"/>
          <w:sz w:val="32"/>
          <w:szCs w:val="32"/>
          <w:highlight w:val="none"/>
          <w:u w:val="none"/>
          <w:lang w:val="en-US" w:eastAsia="zh-CN" w:bidi="ar"/>
        </w:rPr>
        <w:t>目标到2030年，监测站100%通过CMA认证；建成全要素智能监测网络，数据直采率、省级平台联网率均达100%，噪声监测点实现城区全覆盖；PM2.5与臭氧协同控制成效显著，农业面源污染监测预警能力全面提升；应急响应时间缩短至2小时内，打造豫东县级生态环境监管示范样板。</w:t>
      </w:r>
    </w:p>
    <w:tbl>
      <w:tblPr>
        <w:tblStyle w:val="2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74"/>
      </w:tblGrid>
      <w:tr w14:paraId="4A70EF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jc w:val="center"/>
        </w:trPr>
        <w:tc>
          <w:tcPr>
            <w:tcW w:w="8674" w:type="dxa"/>
            <w:noWrap w:val="0"/>
            <w:vAlign w:val="center"/>
          </w:tcPr>
          <w:p w14:paraId="0952F638">
            <w:pPr>
              <w:keepNext w:val="0"/>
              <w:keepLines w:val="0"/>
              <w:pageBreakBefore w:val="0"/>
              <w:widowControl w:val="0"/>
              <w:suppressLineNumbers w:val="0"/>
              <w:kinsoku/>
              <w:wordWrap/>
              <w:overflowPunct/>
              <w:topLinePunct w:val="0"/>
              <w:autoSpaceDE/>
              <w:autoSpaceDN/>
              <w:bidi w:val="0"/>
              <w:adjustRightInd w:val="0"/>
              <w:snapToGrid w:val="0"/>
              <w:spacing w:beforeAutospacing="0" w:afterAutospacing="0" w:line="400" w:lineRule="exact"/>
              <w:ind w:left="0" w:right="0" w:firstLine="0" w:firstLineChars="0"/>
              <w:jc w:val="center"/>
              <w:textAlignment w:val="auto"/>
              <w:rPr>
                <w:rFonts w:hint="default" w:ascii="Times New Roman" w:hAnsi="Times New Roman" w:eastAsia="仿宋" w:cs="Times New Roman"/>
                <w:color w:val="auto"/>
                <w:sz w:val="28"/>
                <w:szCs w:val="28"/>
                <w:highlight w:val="none"/>
                <w:u w:val="none"/>
                <w:shd w:val="clear" w:color="auto" w:fill="FFFFFF"/>
              </w:rPr>
            </w:pPr>
            <w:r>
              <w:rPr>
                <w:rFonts w:hint="eastAsia" w:ascii="楷体_GB2312" w:hAnsi="楷体_GB2312" w:eastAsia="楷体_GB2312" w:cs="楷体_GB2312"/>
                <w:b/>
                <w:bCs w:val="0"/>
                <w:color w:val="auto"/>
                <w:sz w:val="28"/>
                <w:szCs w:val="28"/>
                <w:highlight w:val="none"/>
                <w:u w:val="none"/>
                <w:shd w:val="clear" w:color="auto" w:fill="FFFFFF"/>
              </w:rPr>
              <w:t>专栏</w:t>
            </w:r>
            <w:r>
              <w:rPr>
                <w:rFonts w:hint="eastAsia" w:ascii="楷体_GB2312" w:hAnsi="楷体_GB2312" w:eastAsia="楷体_GB2312" w:cs="楷体_GB2312"/>
                <w:b/>
                <w:bCs w:val="0"/>
                <w:color w:val="auto"/>
                <w:sz w:val="28"/>
                <w:szCs w:val="28"/>
                <w:highlight w:val="none"/>
                <w:u w:val="none"/>
                <w:shd w:val="clear" w:color="auto" w:fill="FFFFFF"/>
                <w:lang w:val="en-US" w:eastAsia="zh-CN"/>
              </w:rPr>
              <w:t>8-1</w:t>
            </w:r>
            <w:r>
              <w:rPr>
                <w:rFonts w:hint="eastAsia" w:ascii="楷体_GB2312" w:hAnsi="楷体_GB2312" w:eastAsia="楷体_GB2312" w:cs="楷体_GB2312"/>
                <w:b/>
                <w:bCs w:val="0"/>
                <w:color w:val="auto"/>
                <w:sz w:val="28"/>
                <w:szCs w:val="28"/>
                <w:highlight w:val="none"/>
                <w:u w:val="none"/>
                <w:shd w:val="clear" w:color="auto" w:fill="FFFFFF"/>
              </w:rPr>
              <w:t>：“</w:t>
            </w:r>
            <w:r>
              <w:rPr>
                <w:rFonts w:hint="eastAsia" w:ascii="楷体_GB2312" w:hAnsi="楷体_GB2312" w:eastAsia="楷体_GB2312" w:cs="楷体_GB2312"/>
                <w:b/>
                <w:bCs w:val="0"/>
                <w:color w:val="auto"/>
                <w:sz w:val="28"/>
                <w:szCs w:val="28"/>
                <w:highlight w:val="none"/>
                <w:u w:val="none"/>
                <w:shd w:val="clear" w:color="auto" w:fill="FFFFFF"/>
                <w:lang w:val="en-US" w:eastAsia="zh-CN"/>
              </w:rPr>
              <w:t>十五五”期间生态建设重点工程</w:t>
            </w:r>
          </w:p>
        </w:tc>
      </w:tr>
      <w:tr w14:paraId="624399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jc w:val="center"/>
        </w:trPr>
        <w:tc>
          <w:tcPr>
            <w:tcW w:w="8674" w:type="dxa"/>
            <w:noWrap w:val="0"/>
            <w:vAlign w:val="center"/>
          </w:tcPr>
          <w:p w14:paraId="6678FF83">
            <w:pPr>
              <w:keepNext w:val="0"/>
              <w:keepLines w:val="0"/>
              <w:pageBreakBefore w:val="0"/>
              <w:widowControl w:val="0"/>
              <w:suppressLineNumbers w:val="0"/>
              <w:kinsoku/>
              <w:wordWrap/>
              <w:overflowPunct/>
              <w:topLinePunct w:val="0"/>
              <w:autoSpaceDE/>
              <w:autoSpaceDN/>
              <w:bidi w:val="0"/>
              <w:adjustRightInd w:val="0"/>
              <w:snapToGrid w:val="0"/>
              <w:spacing w:beforeAutospacing="0" w:afterAutospacing="0" w:line="400" w:lineRule="exact"/>
              <w:ind w:left="0" w:right="0" w:firstLine="560" w:firstLineChars="200"/>
              <w:jc w:val="both"/>
              <w:textAlignment w:val="auto"/>
              <w:rPr>
                <w:rFonts w:hint="eastAsia" w:ascii="Times New Roman" w:hAnsi="Times New Roman" w:eastAsia="仿宋_GB2312" w:cs="Times New Roman"/>
                <w:b w:val="0"/>
                <w:bCs w:val="0"/>
                <w:color w:val="auto"/>
                <w:kern w:val="2"/>
                <w:sz w:val="28"/>
                <w:szCs w:val="28"/>
                <w:highlight w:val="none"/>
                <w:u w:val="none"/>
                <w:lang w:val="en-US" w:eastAsia="zh-CN" w:bidi="ar-SA"/>
              </w:rPr>
            </w:pPr>
            <w:r>
              <w:rPr>
                <w:rFonts w:hint="eastAsia" w:ascii="Times New Roman" w:hAnsi="Times New Roman" w:eastAsia="仿宋_GB2312" w:cs="Times New Roman"/>
                <w:b w:val="0"/>
                <w:bCs w:val="0"/>
                <w:color w:val="auto"/>
                <w:kern w:val="2"/>
                <w:sz w:val="28"/>
                <w:szCs w:val="28"/>
                <w:highlight w:val="none"/>
                <w:u w:val="none"/>
                <w:lang w:val="en-US" w:eastAsia="zh-CN" w:bidi="ar-SA"/>
              </w:rPr>
              <w:t>按照《扶沟县国土空间生态修复规划》（2021-2035年）和“十五五”国土空间生态修复规划实施方案，有序开展“十五五”生态保护修复工作。“十五五”期间，结合我县实际，逐步推进“贾鲁河省级湿地公园”和“清水河省级湿地公园”建设。</w:t>
            </w:r>
          </w:p>
          <w:p w14:paraId="51C8B58B">
            <w:pPr>
              <w:keepNext w:val="0"/>
              <w:keepLines w:val="0"/>
              <w:pageBreakBefore w:val="0"/>
              <w:widowControl w:val="0"/>
              <w:suppressLineNumbers w:val="0"/>
              <w:kinsoku/>
              <w:wordWrap/>
              <w:overflowPunct/>
              <w:topLinePunct w:val="0"/>
              <w:autoSpaceDE/>
              <w:autoSpaceDN/>
              <w:bidi w:val="0"/>
              <w:adjustRightInd w:val="0"/>
              <w:snapToGrid w:val="0"/>
              <w:spacing w:beforeAutospacing="0" w:afterAutospacing="0" w:line="400" w:lineRule="exact"/>
              <w:ind w:left="0" w:right="0" w:firstLine="560" w:firstLineChars="200"/>
              <w:jc w:val="both"/>
              <w:textAlignment w:val="auto"/>
              <w:rPr>
                <w:rFonts w:hint="eastAsia" w:ascii="Times New Roman" w:hAnsi="Times New Roman" w:eastAsia="仿宋_GB2312" w:cs="Times New Roman"/>
                <w:b w:val="0"/>
                <w:bCs w:val="0"/>
                <w:color w:val="auto"/>
                <w:kern w:val="2"/>
                <w:sz w:val="28"/>
                <w:szCs w:val="28"/>
                <w:highlight w:val="none"/>
                <w:u w:val="none"/>
                <w:lang w:val="en-US" w:eastAsia="zh-CN" w:bidi="ar-SA"/>
              </w:rPr>
            </w:pPr>
            <w:r>
              <w:rPr>
                <w:rFonts w:hint="eastAsia" w:ascii="Times New Roman" w:hAnsi="Times New Roman" w:eastAsia="仿宋_GB2312" w:cs="Times New Roman"/>
                <w:b w:val="0"/>
                <w:bCs w:val="0"/>
                <w:color w:val="auto"/>
                <w:kern w:val="2"/>
                <w:sz w:val="28"/>
                <w:szCs w:val="28"/>
                <w:highlight w:val="none"/>
                <w:u w:val="none"/>
                <w:lang w:val="en-US" w:eastAsia="zh-CN" w:bidi="ar-SA"/>
              </w:rPr>
              <w:t>结合乡村振兴、高标准农田、河道治理等，以乡村道路绿化、村镇绿化、河路沟渠绿化及完善农田林网等为重点，对断档处进行补植补造，形成“路、渠、林、田、村”一体规划的绿化体系。</w:t>
            </w:r>
          </w:p>
          <w:p w14:paraId="6F24326B">
            <w:pPr>
              <w:keepNext w:val="0"/>
              <w:keepLines w:val="0"/>
              <w:pageBreakBefore w:val="0"/>
              <w:widowControl w:val="0"/>
              <w:suppressLineNumbers w:val="0"/>
              <w:kinsoku/>
              <w:wordWrap/>
              <w:overflowPunct/>
              <w:topLinePunct w:val="0"/>
              <w:autoSpaceDE/>
              <w:autoSpaceDN/>
              <w:bidi w:val="0"/>
              <w:adjustRightInd w:val="0"/>
              <w:snapToGrid w:val="0"/>
              <w:spacing w:beforeAutospacing="0" w:afterAutospacing="0" w:line="400" w:lineRule="exact"/>
              <w:ind w:left="0" w:right="0" w:firstLine="560" w:firstLineChars="200"/>
              <w:jc w:val="both"/>
              <w:textAlignment w:val="auto"/>
              <w:rPr>
                <w:rFonts w:hint="eastAsia"/>
                <w:lang w:val="en-US" w:eastAsia="zh-CN"/>
              </w:rPr>
            </w:pPr>
            <w:r>
              <w:rPr>
                <w:rFonts w:hint="eastAsia" w:ascii="Times New Roman" w:hAnsi="Times New Roman" w:eastAsia="仿宋_GB2312" w:cs="Times New Roman"/>
                <w:b w:val="0"/>
                <w:bCs w:val="0"/>
                <w:color w:val="auto"/>
                <w:kern w:val="2"/>
                <w:sz w:val="28"/>
                <w:szCs w:val="28"/>
                <w:highlight w:val="none"/>
                <w:u w:val="none"/>
                <w:lang w:val="en-US" w:eastAsia="zh-CN" w:bidi="ar-SA"/>
              </w:rPr>
              <w:t>扶沟县先进制造业开发区印染产业园污水处理厂尾水湿地项目，主要建设内容为扶沟县先进制造业开发区印染产业园污水处理厂尾水湿地项目，属水生态修复和水环境治理工程。建设内容及规模：扶沟县先进制造业开发区印染产业园污水处理厂尾水进行深度净化，处理规模为100000m³/d,主要包括预处理、表面流人工湿地、垂直潜流人工湿地、稳定塘、进水管道及配套设施等工程的建设。总投资为概算批复总投资25087.15万元(工程投资21656.45万元)。其中中央预算内资金6000万元，专项债1.6亿。</w:t>
            </w:r>
          </w:p>
        </w:tc>
      </w:tr>
    </w:tbl>
    <w:p w14:paraId="6FA7C1BD">
      <w:pPr>
        <w:keepNext/>
        <w:keepLines/>
        <w:pageBreakBefore w:val="0"/>
        <w:widowControl w:val="0"/>
        <w:numPr>
          <w:ilvl w:val="0"/>
          <w:numId w:val="0"/>
        </w:numPr>
        <w:kinsoku/>
        <w:wordWrap/>
        <w:overflowPunct/>
        <w:topLinePunct w:val="0"/>
        <w:autoSpaceDE/>
        <w:autoSpaceDN/>
        <w:bidi w:val="0"/>
        <w:adjustRightInd w:val="0"/>
        <w:snapToGrid w:val="0"/>
        <w:spacing w:before="541" w:beforeLines="150" w:after="156" w:afterLines="50" w:line="560" w:lineRule="exact"/>
        <w:ind w:leftChars="0"/>
        <w:jc w:val="center"/>
        <w:textAlignment w:val="auto"/>
        <w:outlineLvl w:val="2"/>
        <w:rPr>
          <w:rFonts w:hint="eastAsia" w:ascii="Times New Roman" w:hAnsi="Times New Roman" w:eastAsia="仿宋_GB2312" w:cs="Times New Roman"/>
          <w:color w:val="auto"/>
          <w:kern w:val="2"/>
          <w:sz w:val="32"/>
          <w:szCs w:val="32"/>
          <w:highlight w:val="none"/>
          <w:u w:val="none"/>
          <w:lang w:val="en-US" w:eastAsia="zh-CN" w:bidi="ar"/>
        </w:rPr>
      </w:pPr>
      <w:bookmarkStart w:id="180" w:name="_Toc11507"/>
      <w:bookmarkStart w:id="181" w:name="_Toc28090"/>
      <w:bookmarkStart w:id="182" w:name="_Toc8864"/>
      <w:r>
        <w:rPr>
          <w:rFonts w:hint="eastAsia" w:ascii="Times New Roman" w:hAnsi="Times New Roman" w:eastAsia="黑体" w:cs="Times New Roman"/>
          <w:b/>
          <w:bCs/>
          <w:color w:val="auto"/>
          <w:kern w:val="2"/>
          <w:sz w:val="32"/>
          <w:szCs w:val="32"/>
          <w:highlight w:val="none"/>
          <w:u w:val="none"/>
          <w:lang w:val="en-US" w:eastAsia="zh-CN" w:bidi="ar-SA"/>
        </w:rPr>
        <w:t>第二节提升污染防治能力</w:t>
      </w:r>
      <w:bookmarkEnd w:id="180"/>
      <w:bookmarkEnd w:id="181"/>
      <w:bookmarkEnd w:id="182"/>
    </w:p>
    <w:p w14:paraId="6324333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Times New Roman" w:hAnsi="Times New Roman" w:eastAsia="仿宋_GB2312" w:cs="Times New Roman"/>
          <w:color w:val="auto"/>
          <w:kern w:val="2"/>
          <w:sz w:val="32"/>
          <w:szCs w:val="32"/>
          <w:highlight w:val="none"/>
          <w:u w:val="none"/>
          <w:lang w:val="en-US" w:eastAsia="zh-CN" w:bidi="ar"/>
        </w:rPr>
        <w:t>高质量打好蓝天、碧水、净土保卫战，针对大气、水、土壤等重点领域的污染问题，实施精准治理、系统治理，构建现代化生态环境治理体系。</w:t>
      </w:r>
    </w:p>
    <w:p w14:paraId="4E0249CC">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楷体_GB2312" w:hAnsi="楷体_GB2312" w:eastAsia="楷体_GB2312" w:cs="楷体_GB2312"/>
          <w:b/>
          <w:bCs/>
          <w:color w:val="auto"/>
          <w:kern w:val="2"/>
          <w:sz w:val="32"/>
          <w:szCs w:val="32"/>
          <w:u w:val="none"/>
          <w:lang w:val="en-US" w:eastAsia="zh-CN" w:bidi="ar-SA"/>
        </w:rPr>
        <w:t>加强大气污染防治。</w:t>
      </w:r>
      <w:r>
        <w:rPr>
          <w:rFonts w:hint="eastAsia" w:ascii="Times New Roman" w:hAnsi="Times New Roman" w:eastAsia="仿宋_GB2312" w:cs="Times New Roman"/>
          <w:b/>
          <w:bCs/>
          <w:color w:val="auto"/>
          <w:kern w:val="2"/>
          <w:sz w:val="32"/>
          <w:szCs w:val="32"/>
          <w:highlight w:val="none"/>
          <w:u w:val="none"/>
          <w:lang w:val="en-US" w:eastAsia="zh-CN" w:bidi="ar"/>
        </w:rPr>
        <w:t>深化固定源整治，</w:t>
      </w:r>
      <w:r>
        <w:rPr>
          <w:rFonts w:hint="eastAsia" w:ascii="Times New Roman" w:hAnsi="Times New Roman" w:eastAsia="仿宋_GB2312" w:cs="Times New Roman"/>
          <w:color w:val="auto"/>
          <w:kern w:val="2"/>
          <w:sz w:val="32"/>
          <w:szCs w:val="32"/>
          <w:highlight w:val="none"/>
          <w:u w:val="none"/>
          <w:lang w:val="en-US" w:eastAsia="zh-CN" w:bidi="ar"/>
        </w:rPr>
        <w:t>针对商砼、铸造、板材等重点行业，推进工业炉窑清洁能源替代与超低排放改造，实施燃煤锅炉清零行动，巩固燃气锅炉低氮改造成效，生物质锅炉全面加装高效脱硝设施。</w:t>
      </w:r>
      <w:r>
        <w:rPr>
          <w:rFonts w:hint="eastAsia" w:ascii="Times New Roman" w:hAnsi="Times New Roman" w:eastAsia="仿宋_GB2312" w:cs="Times New Roman"/>
          <w:b/>
          <w:bCs/>
          <w:color w:val="auto"/>
          <w:kern w:val="2"/>
          <w:sz w:val="32"/>
          <w:szCs w:val="32"/>
          <w:highlight w:val="none"/>
          <w:u w:val="none"/>
          <w:lang w:val="en-US" w:eastAsia="zh-CN" w:bidi="ar"/>
        </w:rPr>
        <w:t>强化VOCs全流程管控，</w:t>
      </w:r>
      <w:r>
        <w:rPr>
          <w:rFonts w:hint="eastAsia" w:ascii="Times New Roman" w:hAnsi="Times New Roman" w:eastAsia="仿宋_GB2312" w:cs="Times New Roman"/>
          <w:color w:val="auto"/>
          <w:kern w:val="2"/>
          <w:sz w:val="32"/>
          <w:szCs w:val="32"/>
          <w:highlight w:val="none"/>
          <w:u w:val="none"/>
          <w:lang w:val="en-US" w:eastAsia="zh-CN" w:bidi="ar"/>
        </w:rPr>
        <w:t>推广低（无）VOCs含量原辅材料源头替代，对涉VOCs企业开展泄漏检测与修复，配套高效治理设施，建立关键环节管理台账。</w:t>
      </w:r>
      <w:r>
        <w:rPr>
          <w:rFonts w:hint="eastAsia" w:ascii="Times New Roman" w:hAnsi="Times New Roman" w:eastAsia="仿宋_GB2312" w:cs="Times New Roman"/>
          <w:b/>
          <w:bCs/>
          <w:color w:val="auto"/>
          <w:kern w:val="2"/>
          <w:sz w:val="32"/>
          <w:szCs w:val="32"/>
          <w:highlight w:val="none"/>
          <w:u w:val="none"/>
          <w:lang w:val="en-US" w:eastAsia="zh-CN" w:bidi="ar"/>
        </w:rPr>
        <w:t>推进移动源绿色转型，</w:t>
      </w:r>
      <w:r>
        <w:rPr>
          <w:rFonts w:hint="eastAsia" w:ascii="Times New Roman" w:hAnsi="Times New Roman" w:eastAsia="仿宋_GB2312" w:cs="Times New Roman"/>
          <w:color w:val="auto"/>
          <w:kern w:val="2"/>
          <w:sz w:val="32"/>
          <w:szCs w:val="32"/>
          <w:highlight w:val="none"/>
          <w:u w:val="none"/>
          <w:lang w:val="en-US" w:eastAsia="zh-CN" w:bidi="ar"/>
        </w:rPr>
        <w:t>落实新能源重卡替代政策，推动环卫、渣土等车辆电动化，加密物流园区等场景充电设施，实现中心城区充电服务半径全覆盖。</w:t>
      </w:r>
      <w:r>
        <w:rPr>
          <w:rFonts w:hint="eastAsia" w:ascii="Times New Roman" w:hAnsi="Times New Roman" w:eastAsia="仿宋_GB2312" w:cs="Times New Roman"/>
          <w:b/>
          <w:bCs/>
          <w:color w:val="auto"/>
          <w:kern w:val="2"/>
          <w:sz w:val="32"/>
          <w:szCs w:val="32"/>
          <w:highlight w:val="none"/>
          <w:u w:val="none"/>
          <w:lang w:val="en-US" w:eastAsia="zh-CN" w:bidi="ar"/>
        </w:rPr>
        <w:t>严控面源污染，</w:t>
      </w:r>
      <w:r>
        <w:rPr>
          <w:rFonts w:hint="eastAsia" w:ascii="Times New Roman" w:hAnsi="Times New Roman" w:eastAsia="仿宋_GB2312" w:cs="Times New Roman"/>
          <w:color w:val="auto"/>
          <w:kern w:val="2"/>
          <w:sz w:val="32"/>
          <w:szCs w:val="32"/>
          <w:highlight w:val="none"/>
          <w:u w:val="none"/>
          <w:lang w:val="en-US" w:eastAsia="zh-CN" w:bidi="ar"/>
        </w:rPr>
        <w:t>建立秸秆禁烧常态化巡查机制，施工工地严格执行“六个百分百”抑尘标准，动态整治“散乱污”企业。</w:t>
      </w:r>
      <w:r>
        <w:rPr>
          <w:rFonts w:hint="eastAsia" w:ascii="Times New Roman" w:hAnsi="Times New Roman" w:eastAsia="仿宋_GB2312" w:cs="Times New Roman"/>
          <w:b/>
          <w:bCs/>
          <w:color w:val="auto"/>
          <w:kern w:val="2"/>
          <w:sz w:val="32"/>
          <w:szCs w:val="32"/>
          <w:highlight w:val="none"/>
          <w:u w:val="none"/>
          <w:lang w:val="en-US" w:eastAsia="zh-CN" w:bidi="ar"/>
        </w:rPr>
        <w:t>提升监管能力，</w:t>
      </w:r>
      <w:r>
        <w:rPr>
          <w:rFonts w:hint="eastAsia" w:ascii="Times New Roman" w:hAnsi="Times New Roman" w:eastAsia="仿宋_GB2312" w:cs="Times New Roman"/>
          <w:color w:val="auto"/>
          <w:kern w:val="2"/>
          <w:sz w:val="32"/>
          <w:szCs w:val="32"/>
          <w:highlight w:val="none"/>
          <w:u w:val="none"/>
          <w:lang w:val="en-US" w:eastAsia="zh-CN" w:bidi="ar"/>
        </w:rPr>
        <w:t>建设VOCs“指纹化”溯源系统，运用走航车等技术精准溯源，实现重点排污单位在线监测全覆盖。</w:t>
      </w:r>
    </w:p>
    <w:p w14:paraId="7C54D65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Times New Roman" w:hAnsi="Times New Roman" w:eastAsia="仿宋_GB2312" w:cs="Times New Roman"/>
          <w:color w:val="auto"/>
          <w:kern w:val="2"/>
          <w:sz w:val="32"/>
          <w:szCs w:val="32"/>
          <w:highlight w:val="none"/>
          <w:u w:val="none"/>
          <w:lang w:val="en-US" w:eastAsia="zh-CN" w:bidi="ar"/>
        </w:rPr>
        <w:t>目标到2030年，实现全县PM2.5平均浓度较2025年下降10%，氮氧化物和VOCs排放总量分别下降10%以上，空气质量优良天数比例稳步提升，重度及以上污染天数比率控制在1%以内，基本形成减污降碳协同增效的绿色发展格局。</w:t>
      </w:r>
    </w:p>
    <w:p w14:paraId="27A85704">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楷体_GB2312" w:hAnsi="楷体_GB2312" w:eastAsia="楷体_GB2312" w:cs="楷体_GB2312"/>
          <w:b/>
          <w:bCs/>
          <w:color w:val="auto"/>
          <w:kern w:val="2"/>
          <w:sz w:val="32"/>
          <w:szCs w:val="32"/>
          <w:u w:val="none"/>
          <w:lang w:val="en-US" w:eastAsia="zh-CN" w:bidi="ar-SA"/>
        </w:rPr>
        <w:t>加强水污染防治。</w:t>
      </w:r>
      <w:r>
        <w:rPr>
          <w:rFonts w:hint="eastAsia" w:ascii="Times New Roman" w:hAnsi="Times New Roman" w:eastAsia="仿宋_GB2312" w:cs="Times New Roman"/>
          <w:color w:val="auto"/>
          <w:kern w:val="2"/>
          <w:sz w:val="32"/>
          <w:szCs w:val="32"/>
          <w:highlight w:val="none"/>
          <w:u w:val="none"/>
          <w:lang w:val="en-US" w:eastAsia="zh-CN" w:bidi="ar"/>
        </w:rPr>
        <w:t>以改善水生态环境质量为核心，统筹水资源、水环境、水生态治理，紧扣“全生态蔬菜之都”发展定位，</w:t>
      </w:r>
      <w:r>
        <w:rPr>
          <w:rFonts w:hint="default" w:ascii="仿宋_GB2312" w:hAnsi="仿宋_GB2312" w:eastAsia="仿宋_GB2312" w:cs="仿宋_GB2312"/>
          <w:color w:val="000000"/>
          <w:sz w:val="32"/>
          <w:szCs w:val="32"/>
          <w:highlight w:val="none"/>
          <w:lang w:val="en-US" w:eastAsia="zh-CN"/>
        </w:rPr>
        <w:t>聚焦贾鲁河、尉扶河、清水河</w:t>
      </w:r>
      <w:r>
        <w:rPr>
          <w:rFonts w:hint="eastAsia" w:ascii="仿宋_GB2312" w:hAnsi="仿宋_GB2312" w:eastAsia="仿宋_GB2312" w:cs="仿宋_GB2312"/>
          <w:color w:val="000000"/>
          <w:sz w:val="32"/>
          <w:szCs w:val="32"/>
          <w:highlight w:val="none"/>
          <w:lang w:val="en-US" w:eastAsia="zh-CN"/>
        </w:rPr>
        <w:t>（扶沟段）流域</w:t>
      </w:r>
      <w:r>
        <w:rPr>
          <w:rFonts w:hint="default" w:ascii="仿宋_GB2312" w:hAnsi="仿宋_GB2312" w:eastAsia="仿宋_GB2312" w:cs="仿宋_GB2312"/>
          <w:color w:val="000000"/>
          <w:sz w:val="32"/>
          <w:szCs w:val="32"/>
          <w:highlight w:val="none"/>
          <w:lang w:val="en-US" w:eastAsia="zh-CN"/>
        </w:rPr>
        <w:t>及重点水体</w:t>
      </w:r>
      <w:r>
        <w:rPr>
          <w:rFonts w:hint="eastAsia" w:ascii="Times New Roman" w:hAnsi="Times New Roman" w:eastAsia="仿宋_GB2312" w:cs="Times New Roman"/>
          <w:color w:val="auto"/>
          <w:kern w:val="2"/>
          <w:sz w:val="32"/>
          <w:szCs w:val="32"/>
          <w:highlight w:val="none"/>
          <w:u w:val="none"/>
          <w:lang w:val="en-US" w:eastAsia="zh-CN" w:bidi="ar"/>
        </w:rPr>
        <w:t>，深化控源截污、生态修复与智慧监管，筑牢区域水安全屏障。</w:t>
      </w:r>
      <w:r>
        <w:rPr>
          <w:rFonts w:hint="eastAsia" w:ascii="Times New Roman" w:hAnsi="Times New Roman" w:eastAsia="仿宋_GB2312" w:cs="Times New Roman"/>
          <w:b/>
          <w:bCs/>
          <w:color w:val="auto"/>
          <w:kern w:val="2"/>
          <w:sz w:val="32"/>
          <w:szCs w:val="32"/>
          <w:highlight w:val="none"/>
          <w:u w:val="none"/>
          <w:lang w:val="en-US" w:eastAsia="zh-CN" w:bidi="ar"/>
        </w:rPr>
        <w:t>流域水质持续提升。</w:t>
      </w:r>
      <w:r>
        <w:rPr>
          <w:rFonts w:hint="eastAsia" w:ascii="Times New Roman" w:hAnsi="Times New Roman" w:eastAsia="仿宋_GB2312" w:cs="Times New Roman"/>
          <w:color w:val="auto"/>
          <w:kern w:val="2"/>
          <w:sz w:val="32"/>
          <w:szCs w:val="32"/>
          <w:highlight w:val="none"/>
          <w:u w:val="none"/>
          <w:lang w:val="en-US" w:eastAsia="zh-CN" w:bidi="ar"/>
        </w:rPr>
        <w:t>实施马村干渠、固城干渠、马谢沟等水体精细化治理，开展常态化巡河与“清四乱”行动，分类整治入河排污口，在污水处理厂下游及河流关键节点建设人工湿地水质净化工程。</w:t>
      </w:r>
      <w:r>
        <w:rPr>
          <w:rFonts w:hint="eastAsia" w:ascii="Times New Roman" w:hAnsi="Times New Roman" w:eastAsia="仿宋_GB2312" w:cs="Times New Roman"/>
          <w:b/>
          <w:bCs/>
          <w:color w:val="auto"/>
          <w:kern w:val="2"/>
          <w:sz w:val="32"/>
          <w:szCs w:val="32"/>
          <w:highlight w:val="none"/>
          <w:u w:val="none"/>
          <w:lang w:val="en-US" w:eastAsia="zh-CN" w:bidi="ar"/>
        </w:rPr>
        <w:t>城乡污染加强管控。</w:t>
      </w:r>
      <w:r>
        <w:rPr>
          <w:rFonts w:hint="eastAsia" w:ascii="Times New Roman" w:hAnsi="Times New Roman" w:eastAsia="仿宋_GB2312" w:cs="Times New Roman"/>
          <w:color w:val="auto"/>
          <w:kern w:val="2"/>
          <w:sz w:val="32"/>
          <w:szCs w:val="32"/>
          <w:highlight w:val="none"/>
          <w:u w:val="none"/>
          <w:lang w:val="en-US" w:eastAsia="zh-CN" w:bidi="ar"/>
        </w:rPr>
        <w:t>推进雨污水管网改造与修复，扩大污水处理厂收水范围，确保城镇污水应收尽收；整治农村生活污水，推广生态农业减少面源污染，清单化治理“散乱污”企业。</w:t>
      </w:r>
      <w:r>
        <w:rPr>
          <w:rFonts w:hint="eastAsia" w:ascii="Times New Roman" w:hAnsi="Times New Roman" w:eastAsia="仿宋_GB2312" w:cs="Times New Roman"/>
          <w:b/>
          <w:bCs/>
          <w:color w:val="auto"/>
          <w:kern w:val="2"/>
          <w:sz w:val="32"/>
          <w:szCs w:val="32"/>
          <w:highlight w:val="none"/>
          <w:u w:val="none"/>
          <w:lang w:val="en-US" w:eastAsia="zh-CN" w:bidi="ar"/>
        </w:rPr>
        <w:t>水源安全充分保障。</w:t>
      </w:r>
      <w:r>
        <w:rPr>
          <w:rFonts w:hint="eastAsia" w:ascii="Times New Roman" w:hAnsi="Times New Roman" w:eastAsia="仿宋_GB2312" w:cs="Times New Roman"/>
          <w:color w:val="auto"/>
          <w:kern w:val="2"/>
          <w:sz w:val="32"/>
          <w:szCs w:val="32"/>
          <w:highlight w:val="none"/>
          <w:u w:val="none"/>
          <w:lang w:val="en-US" w:eastAsia="zh-CN" w:bidi="ar"/>
        </w:rPr>
        <w:t>科学划定饮用水水源保护区，完善隔离防护与标识系统，构建“查-溯-治”监管体系，实施水源涵养林种植与湿地修复，建设水质自动监测站。</w:t>
      </w:r>
      <w:r>
        <w:rPr>
          <w:rFonts w:hint="eastAsia" w:ascii="Times New Roman" w:hAnsi="Times New Roman" w:eastAsia="仿宋_GB2312" w:cs="Times New Roman"/>
          <w:b/>
          <w:bCs/>
          <w:color w:val="auto"/>
          <w:kern w:val="2"/>
          <w:sz w:val="32"/>
          <w:szCs w:val="32"/>
          <w:highlight w:val="none"/>
          <w:u w:val="none"/>
          <w:lang w:val="en-US" w:eastAsia="zh-CN" w:bidi="ar"/>
        </w:rPr>
        <w:t>智慧监管建设工程。</w:t>
      </w:r>
      <w:r>
        <w:rPr>
          <w:rFonts w:hint="eastAsia" w:ascii="Times New Roman" w:hAnsi="Times New Roman" w:eastAsia="仿宋_GB2312" w:cs="Times New Roman"/>
          <w:color w:val="auto"/>
          <w:kern w:val="2"/>
          <w:sz w:val="32"/>
          <w:szCs w:val="32"/>
          <w:highlight w:val="none"/>
          <w:u w:val="none"/>
          <w:lang w:val="en-US" w:eastAsia="zh-CN" w:bidi="ar"/>
        </w:rPr>
        <w:t>搭建“企业-管网-排口-断面”五级监控网络，建设GIS智慧排水“一张图”，应用红外成像、走航车等技术锁定偷排行为，确保重点排污单位在线监测全覆盖。</w:t>
      </w:r>
    </w:p>
    <w:p w14:paraId="1D741C2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Times New Roman" w:hAnsi="Times New Roman" w:eastAsia="仿宋_GB2312" w:cs="Times New Roman"/>
          <w:color w:val="auto"/>
          <w:kern w:val="2"/>
          <w:sz w:val="32"/>
          <w:szCs w:val="32"/>
          <w:highlight w:val="none"/>
          <w:u w:val="none"/>
          <w:lang w:val="en-US" w:eastAsia="zh-CN" w:bidi="ar"/>
        </w:rPr>
        <w:t>目标到2030年，水生态环境根本好转，河湖生态流量得到有效保障，水源涵养和水土保持能力不断提升，污染物排放得到有效控制；完成全县主要河湖入河排污口整治，县城建成区黑臭水体动态清零，无返黑返臭现象；县级以上集中式饮用水源地水质优良比例保持100%，乡镇级水源地达标率逐步提升；重要河湖生态流量保障率超90%，水生态功能显著恢复。</w:t>
      </w:r>
    </w:p>
    <w:p w14:paraId="4F407021">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楷体_GB2312" w:hAnsi="楷体_GB2312" w:eastAsia="楷体_GB2312" w:cs="楷体_GB2312"/>
          <w:b/>
          <w:bCs/>
          <w:color w:val="auto"/>
          <w:kern w:val="2"/>
          <w:sz w:val="32"/>
          <w:szCs w:val="32"/>
          <w:u w:val="none"/>
          <w:lang w:val="en-US" w:eastAsia="zh-CN" w:bidi="ar-SA"/>
        </w:rPr>
        <w:t>加强土壤污染防治。</w:t>
      </w:r>
      <w:r>
        <w:rPr>
          <w:rFonts w:hint="eastAsia" w:ascii="Times New Roman" w:hAnsi="Times New Roman" w:eastAsia="仿宋_GB2312" w:cs="Times New Roman"/>
          <w:color w:val="auto"/>
          <w:kern w:val="2"/>
          <w:sz w:val="32"/>
          <w:szCs w:val="32"/>
          <w:highlight w:val="none"/>
          <w:u w:val="none"/>
          <w:lang w:val="en-US" w:eastAsia="zh-CN" w:bidi="ar"/>
        </w:rPr>
        <w:t>坚持预防为主、保护优先、风险管控的原则，以巩固和提升土壤环境质量为核心，强化土壤污染源头防控，推进土壤与地下水协同治理，健全长效监管机制，切实保障扶沟县耕地安全和建设用地安全利用，为建设美丽扶沟奠定坚实的土壤环境基础。</w:t>
      </w:r>
      <w:r>
        <w:rPr>
          <w:rFonts w:hint="eastAsia" w:ascii="Times New Roman" w:hAnsi="Times New Roman" w:eastAsia="仿宋_GB2312" w:cs="Times New Roman"/>
          <w:b/>
          <w:bCs/>
          <w:color w:val="auto"/>
          <w:kern w:val="2"/>
          <w:sz w:val="32"/>
          <w:szCs w:val="32"/>
          <w:highlight w:val="none"/>
          <w:u w:val="none"/>
          <w:lang w:val="en-US" w:eastAsia="zh-CN" w:bidi="ar"/>
        </w:rPr>
        <w:t>强化土壤生态环境监测评估。</w:t>
      </w:r>
      <w:r>
        <w:rPr>
          <w:rFonts w:hint="eastAsia" w:ascii="Times New Roman" w:hAnsi="Times New Roman" w:eastAsia="仿宋_GB2312" w:cs="Times New Roman"/>
          <w:color w:val="auto"/>
          <w:kern w:val="2"/>
          <w:sz w:val="32"/>
          <w:szCs w:val="32"/>
          <w:highlight w:val="none"/>
          <w:u w:val="none"/>
          <w:lang w:val="en-US" w:eastAsia="zh-CN" w:bidi="ar"/>
        </w:rPr>
        <w:t>高质量建成并运行土壤生态环境长期观测基地，持续开展土壤物理、化学及生物指标监测，精准识别耕地污染成因，构建覆盖全县的土壤环境长期观测网络和数据平台，为分类管理和精准治理提供科学依据。</w:t>
      </w:r>
      <w:r>
        <w:rPr>
          <w:rFonts w:hint="eastAsia" w:ascii="Times New Roman" w:hAnsi="Times New Roman" w:eastAsia="仿宋_GB2312" w:cs="Times New Roman"/>
          <w:b/>
          <w:bCs/>
          <w:color w:val="auto"/>
          <w:kern w:val="2"/>
          <w:sz w:val="32"/>
          <w:szCs w:val="32"/>
          <w:highlight w:val="none"/>
          <w:u w:val="none"/>
          <w:lang w:val="en-US" w:eastAsia="zh-CN" w:bidi="ar"/>
        </w:rPr>
        <w:t>深化土壤污染源头管控。</w:t>
      </w:r>
      <w:r>
        <w:rPr>
          <w:rFonts w:hint="eastAsia" w:ascii="Times New Roman" w:hAnsi="Times New Roman" w:eastAsia="仿宋_GB2312" w:cs="Times New Roman"/>
          <w:color w:val="auto"/>
          <w:kern w:val="2"/>
          <w:sz w:val="32"/>
          <w:szCs w:val="32"/>
          <w:highlight w:val="none"/>
          <w:u w:val="none"/>
          <w:lang w:val="en-US" w:eastAsia="zh-CN" w:bidi="ar"/>
        </w:rPr>
        <w:t>持续推进耕地周边涉镉等重金属重点行业企业排查整治，动态更新土壤污染重点监管单位名录，严格落实监管要求。加强农业面源污染治理，降低化肥农药使用量。</w:t>
      </w:r>
      <w:r>
        <w:rPr>
          <w:rFonts w:hint="eastAsia" w:ascii="Times New Roman" w:hAnsi="Times New Roman" w:eastAsia="仿宋_GB2312" w:cs="Times New Roman"/>
          <w:b/>
          <w:bCs/>
          <w:color w:val="auto"/>
          <w:kern w:val="2"/>
          <w:sz w:val="32"/>
          <w:szCs w:val="32"/>
          <w:highlight w:val="none"/>
          <w:u w:val="none"/>
          <w:lang w:val="en-US" w:eastAsia="zh-CN" w:bidi="ar"/>
        </w:rPr>
        <w:t>实施农用地安全利用与分类管理。</w:t>
      </w:r>
      <w:r>
        <w:rPr>
          <w:rFonts w:hint="eastAsia" w:ascii="Times New Roman" w:hAnsi="Times New Roman" w:eastAsia="仿宋_GB2312" w:cs="Times New Roman"/>
          <w:color w:val="auto"/>
          <w:kern w:val="2"/>
          <w:sz w:val="32"/>
          <w:szCs w:val="32"/>
          <w:highlight w:val="none"/>
          <w:u w:val="none"/>
          <w:lang w:val="en-US" w:eastAsia="zh-CN" w:bidi="ar"/>
        </w:rPr>
        <w:t>动态更新耕地土壤环境质量类别清单图表，持续推进受污染耕地安全利用与严格管控措施，确保农产品质量安全。</w:t>
      </w:r>
      <w:r>
        <w:rPr>
          <w:rFonts w:hint="eastAsia" w:ascii="Times New Roman" w:hAnsi="Times New Roman" w:eastAsia="仿宋_GB2312" w:cs="Times New Roman"/>
          <w:b/>
          <w:bCs/>
          <w:color w:val="auto"/>
          <w:kern w:val="2"/>
          <w:sz w:val="32"/>
          <w:szCs w:val="32"/>
          <w:highlight w:val="none"/>
          <w:u w:val="none"/>
          <w:lang w:val="en-US" w:eastAsia="zh-CN" w:bidi="ar"/>
        </w:rPr>
        <w:t>推进建设用地风险管控与修复。</w:t>
      </w:r>
      <w:r>
        <w:rPr>
          <w:rFonts w:hint="eastAsia" w:ascii="Times New Roman" w:hAnsi="Times New Roman" w:eastAsia="仿宋_GB2312" w:cs="Times New Roman"/>
          <w:color w:val="auto"/>
          <w:kern w:val="2"/>
          <w:sz w:val="32"/>
          <w:szCs w:val="32"/>
          <w:highlight w:val="none"/>
          <w:u w:val="none"/>
          <w:lang w:val="en-US" w:eastAsia="zh-CN" w:bidi="ar"/>
        </w:rPr>
        <w:t>以用途变更为“一住两公”的地块为重点，严格落实土壤污染风险管控和修复制度。探索在产企业边生产边管控模式，推广绿色修复技术，防止二次污染。</w:t>
      </w:r>
      <w:r>
        <w:rPr>
          <w:rFonts w:hint="eastAsia" w:ascii="Times New Roman" w:hAnsi="Times New Roman" w:eastAsia="仿宋_GB2312" w:cs="Times New Roman"/>
          <w:b/>
          <w:bCs/>
          <w:color w:val="auto"/>
          <w:kern w:val="2"/>
          <w:sz w:val="32"/>
          <w:szCs w:val="32"/>
          <w:highlight w:val="none"/>
          <w:u w:val="none"/>
          <w:lang w:val="en-US" w:eastAsia="zh-CN" w:bidi="ar"/>
        </w:rPr>
        <w:t>加强地下水与土壤污染协同防治。</w:t>
      </w:r>
      <w:r>
        <w:rPr>
          <w:rFonts w:hint="eastAsia" w:ascii="Times New Roman" w:hAnsi="Times New Roman" w:eastAsia="仿宋_GB2312" w:cs="Times New Roman"/>
          <w:color w:val="auto"/>
          <w:kern w:val="2"/>
          <w:sz w:val="32"/>
          <w:szCs w:val="32"/>
          <w:highlight w:val="none"/>
          <w:u w:val="none"/>
          <w:lang w:val="en-US" w:eastAsia="zh-CN" w:bidi="ar"/>
        </w:rPr>
        <w:t>配合市级部门开展地下水环境状况调查评估，以“双源”为重点，推动地下水污染风险管控。针对区域特点，关注高氟水等原生环境问题，参与风险评价与防治示范。</w:t>
      </w:r>
    </w:p>
    <w:p w14:paraId="43ABE0D1">
      <w:pPr>
        <w:keepNext w:val="0"/>
        <w:keepLines w:val="0"/>
        <w:pageBreakBefore w:val="0"/>
        <w:widowControl w:val="0"/>
        <w:kinsoku/>
        <w:wordWrap/>
        <w:overflowPunct/>
        <w:topLinePunct w:val="0"/>
        <w:autoSpaceDE/>
        <w:autoSpaceDN/>
        <w:bidi w:val="0"/>
        <w:adjustRightInd w:val="0"/>
        <w:snapToGrid w:val="0"/>
        <w:spacing w:after="721" w:afterLines="200" w:line="560" w:lineRule="exact"/>
        <w:ind w:firstLine="640"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Times New Roman" w:hAnsi="Times New Roman" w:eastAsia="仿宋_GB2312" w:cs="Times New Roman"/>
          <w:color w:val="auto"/>
          <w:kern w:val="2"/>
          <w:sz w:val="32"/>
          <w:szCs w:val="32"/>
          <w:highlight w:val="none"/>
          <w:u w:val="none"/>
          <w:lang w:val="en-US" w:eastAsia="zh-CN" w:bidi="ar"/>
        </w:rPr>
        <w:t>目标到2030年，实现全县土壤环境质量总体保持稳定，土壤环境风险得到有效管控。受污染耕地安全利用率稳定在95%以上。重点建设用地安全利用率达到100%。土壤生态环境长期观测基地稳定运行，监测数据有效支撑管理决策。土壤环境信息化管理能力显著提升，实现与省、市平台的互联互通和数据共享。</w:t>
      </w:r>
    </w:p>
    <w:tbl>
      <w:tblPr>
        <w:tblStyle w:val="2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74"/>
      </w:tblGrid>
      <w:tr w14:paraId="24F023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jc w:val="center"/>
        </w:trPr>
        <w:tc>
          <w:tcPr>
            <w:tcW w:w="8674" w:type="dxa"/>
            <w:noWrap w:val="0"/>
            <w:vAlign w:val="center"/>
          </w:tcPr>
          <w:p w14:paraId="1CA7FFDB">
            <w:pPr>
              <w:keepNext w:val="0"/>
              <w:keepLines w:val="0"/>
              <w:pageBreakBefore w:val="0"/>
              <w:widowControl w:val="0"/>
              <w:suppressLineNumbers w:val="0"/>
              <w:kinsoku/>
              <w:wordWrap/>
              <w:overflowPunct/>
              <w:topLinePunct w:val="0"/>
              <w:autoSpaceDE/>
              <w:autoSpaceDN/>
              <w:bidi w:val="0"/>
              <w:adjustRightInd w:val="0"/>
              <w:snapToGrid w:val="0"/>
              <w:spacing w:beforeAutospacing="0" w:afterAutospacing="0" w:line="400" w:lineRule="exact"/>
              <w:ind w:left="0" w:right="0" w:firstLine="0" w:firstLineChars="0"/>
              <w:jc w:val="center"/>
              <w:textAlignment w:val="auto"/>
              <w:rPr>
                <w:rFonts w:hint="default" w:ascii="Times New Roman" w:hAnsi="Times New Roman" w:eastAsia="仿宋" w:cs="Times New Roman"/>
                <w:color w:val="auto"/>
                <w:sz w:val="28"/>
                <w:szCs w:val="28"/>
                <w:highlight w:val="none"/>
                <w:u w:val="none"/>
                <w:shd w:val="clear" w:color="auto" w:fill="FFFFFF"/>
              </w:rPr>
            </w:pPr>
            <w:r>
              <w:rPr>
                <w:rFonts w:hint="eastAsia" w:ascii="楷体_GB2312" w:hAnsi="楷体_GB2312" w:eastAsia="楷体_GB2312" w:cs="楷体_GB2312"/>
                <w:b/>
                <w:bCs w:val="0"/>
                <w:color w:val="auto"/>
                <w:sz w:val="28"/>
                <w:szCs w:val="28"/>
                <w:highlight w:val="none"/>
                <w:u w:val="none"/>
                <w:shd w:val="clear" w:color="auto" w:fill="FFFFFF"/>
              </w:rPr>
              <w:t>专栏</w:t>
            </w:r>
            <w:r>
              <w:rPr>
                <w:rFonts w:hint="eastAsia" w:ascii="楷体_GB2312" w:hAnsi="楷体_GB2312" w:eastAsia="楷体_GB2312" w:cs="楷体_GB2312"/>
                <w:b/>
                <w:bCs w:val="0"/>
                <w:color w:val="auto"/>
                <w:sz w:val="28"/>
                <w:szCs w:val="28"/>
                <w:highlight w:val="none"/>
                <w:u w:val="none"/>
                <w:shd w:val="clear" w:color="auto" w:fill="FFFFFF"/>
                <w:lang w:val="en-US" w:eastAsia="zh-CN"/>
              </w:rPr>
              <w:t>8-2</w:t>
            </w:r>
            <w:r>
              <w:rPr>
                <w:rFonts w:hint="eastAsia" w:ascii="楷体_GB2312" w:hAnsi="楷体_GB2312" w:eastAsia="楷体_GB2312" w:cs="楷体_GB2312"/>
                <w:b/>
                <w:bCs w:val="0"/>
                <w:color w:val="auto"/>
                <w:sz w:val="28"/>
                <w:szCs w:val="28"/>
                <w:highlight w:val="none"/>
                <w:u w:val="none"/>
                <w:shd w:val="clear" w:color="auto" w:fill="FFFFFF"/>
              </w:rPr>
              <w:t>：“</w:t>
            </w:r>
            <w:r>
              <w:rPr>
                <w:rFonts w:hint="eastAsia" w:ascii="楷体_GB2312" w:hAnsi="楷体_GB2312" w:eastAsia="楷体_GB2312" w:cs="楷体_GB2312"/>
                <w:b/>
                <w:bCs w:val="0"/>
                <w:color w:val="auto"/>
                <w:sz w:val="28"/>
                <w:szCs w:val="28"/>
                <w:highlight w:val="none"/>
                <w:u w:val="none"/>
                <w:shd w:val="clear" w:color="auto" w:fill="FFFFFF"/>
                <w:lang w:val="en-US" w:eastAsia="zh-CN"/>
              </w:rPr>
              <w:t>十五五”期间污染防治重点工程</w:t>
            </w:r>
          </w:p>
        </w:tc>
      </w:tr>
      <w:tr w14:paraId="762D09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jc w:val="center"/>
        </w:trPr>
        <w:tc>
          <w:tcPr>
            <w:tcW w:w="8674" w:type="dxa"/>
            <w:noWrap w:val="0"/>
            <w:vAlign w:val="center"/>
          </w:tcPr>
          <w:p w14:paraId="79087D06">
            <w:pPr>
              <w:keepNext w:val="0"/>
              <w:keepLines w:val="0"/>
              <w:pageBreakBefore w:val="0"/>
              <w:widowControl w:val="0"/>
              <w:suppressLineNumbers w:val="0"/>
              <w:kinsoku/>
              <w:wordWrap/>
              <w:overflowPunct/>
              <w:topLinePunct w:val="0"/>
              <w:autoSpaceDE/>
              <w:autoSpaceDN/>
              <w:bidi w:val="0"/>
              <w:adjustRightInd w:val="0"/>
              <w:snapToGrid w:val="0"/>
              <w:spacing w:beforeAutospacing="0" w:afterAutospacing="0" w:line="400" w:lineRule="exact"/>
              <w:ind w:left="0" w:right="0" w:firstLine="562" w:firstLineChars="200"/>
              <w:jc w:val="both"/>
              <w:textAlignment w:val="auto"/>
              <w:rPr>
                <w:rFonts w:hint="eastAsia"/>
                <w:lang w:val="en-US" w:eastAsia="zh-CN"/>
              </w:rPr>
            </w:pPr>
            <w:r>
              <w:rPr>
                <w:rFonts w:hint="eastAsia" w:ascii="Times New Roman" w:hAnsi="Times New Roman" w:eastAsia="仿宋_GB2312" w:cs="Times New Roman"/>
                <w:b/>
                <w:bCs/>
                <w:color w:val="auto"/>
                <w:kern w:val="2"/>
                <w:sz w:val="28"/>
                <w:szCs w:val="28"/>
                <w:highlight w:val="none"/>
                <w:u w:val="none"/>
                <w:lang w:val="en-US" w:eastAsia="zh-CN" w:bidi="ar-SA"/>
              </w:rPr>
              <w:t>重点实施</w:t>
            </w:r>
            <w:r>
              <w:rPr>
                <w:rFonts w:hint="eastAsia" w:ascii="Times New Roman" w:hAnsi="Times New Roman" w:eastAsia="仿宋_GB2312" w:cs="Times New Roman"/>
                <w:b w:val="0"/>
                <w:bCs w:val="0"/>
                <w:color w:val="auto"/>
                <w:kern w:val="2"/>
                <w:sz w:val="28"/>
                <w:szCs w:val="28"/>
                <w:highlight w:val="none"/>
                <w:u w:val="none"/>
                <w:lang w:val="en-US" w:eastAsia="zh-CN" w:bidi="ar-SA"/>
              </w:rPr>
              <w:t>扶沟县第二污水处理厂改扩建项目、扶沟县污泥及垃圾飞灰处置项目、扶沟县城区污水管网改造项目、扶沟县力神大道南侧截洪沟及污水管网建设项目、扶沟县开发区雨污水管网提升改造项目、周口市扶沟县5条农村黑臭水体治理项目、扶沟县城镇污水处理设施及配套管网建设项目、</w:t>
            </w:r>
            <w:r>
              <w:rPr>
                <w:rFonts w:hint="default" w:ascii="Times New Roman" w:hAnsi="Times New Roman" w:eastAsia="仿宋_GB2312" w:cs="Times New Roman"/>
                <w:b w:val="0"/>
                <w:bCs w:val="0"/>
                <w:color w:val="auto"/>
                <w:kern w:val="2"/>
                <w:sz w:val="28"/>
                <w:szCs w:val="28"/>
                <w:highlight w:val="none"/>
                <w:u w:val="none"/>
                <w:lang w:val="en-US" w:eastAsia="zh-CN" w:bidi="ar-SA"/>
              </w:rPr>
              <w:t>扶沟县吕潭乡等5个乡污水处理设施及配套管网建设项目</w:t>
            </w:r>
            <w:r>
              <w:rPr>
                <w:rFonts w:hint="eastAsia" w:ascii="Times New Roman" w:hAnsi="Times New Roman" w:eastAsia="仿宋_GB2312" w:cs="Times New Roman"/>
                <w:b w:val="0"/>
                <w:bCs w:val="0"/>
                <w:color w:val="auto"/>
                <w:kern w:val="2"/>
                <w:sz w:val="28"/>
                <w:szCs w:val="28"/>
                <w:highlight w:val="none"/>
                <w:u w:val="none"/>
                <w:lang w:val="en-US" w:eastAsia="zh-CN" w:bidi="ar-SA"/>
              </w:rPr>
              <w:t>、</w:t>
            </w:r>
            <w:r>
              <w:rPr>
                <w:rFonts w:hint="default" w:ascii="Times New Roman" w:hAnsi="Times New Roman" w:eastAsia="仿宋_GB2312" w:cs="Times New Roman"/>
                <w:b w:val="0"/>
                <w:bCs w:val="0"/>
                <w:color w:val="auto"/>
                <w:kern w:val="2"/>
                <w:sz w:val="28"/>
                <w:szCs w:val="28"/>
                <w:highlight w:val="none"/>
                <w:u w:val="none"/>
                <w:lang w:val="en-US" w:eastAsia="zh-CN" w:bidi="ar-SA"/>
              </w:rPr>
              <w:t>扶沟县入河排污口规范化建设项目</w:t>
            </w:r>
            <w:r>
              <w:rPr>
                <w:rFonts w:hint="eastAsia" w:ascii="Times New Roman" w:hAnsi="Times New Roman" w:eastAsia="仿宋_GB2312" w:cs="Times New Roman"/>
                <w:b w:val="0"/>
                <w:bCs w:val="0"/>
                <w:color w:val="auto"/>
                <w:kern w:val="2"/>
                <w:sz w:val="28"/>
                <w:szCs w:val="28"/>
                <w:highlight w:val="none"/>
                <w:u w:val="none"/>
                <w:lang w:val="en-US" w:eastAsia="zh-CN" w:bidi="ar-SA"/>
              </w:rPr>
              <w:t>。</w:t>
            </w:r>
          </w:p>
        </w:tc>
      </w:tr>
    </w:tbl>
    <w:p w14:paraId="31CF5202">
      <w:pPr>
        <w:keepNext/>
        <w:keepLines/>
        <w:pageBreakBefore w:val="0"/>
        <w:widowControl w:val="0"/>
        <w:numPr>
          <w:ilvl w:val="0"/>
          <w:numId w:val="0"/>
        </w:numPr>
        <w:kinsoku/>
        <w:wordWrap/>
        <w:overflowPunct/>
        <w:topLinePunct w:val="0"/>
        <w:autoSpaceDE/>
        <w:autoSpaceDN/>
        <w:bidi w:val="0"/>
        <w:adjustRightInd w:val="0"/>
        <w:snapToGrid w:val="0"/>
        <w:spacing w:before="541" w:beforeLines="150" w:after="156" w:afterLines="50" w:line="560" w:lineRule="exact"/>
        <w:ind w:leftChars="0"/>
        <w:jc w:val="center"/>
        <w:textAlignment w:val="auto"/>
        <w:outlineLvl w:val="2"/>
        <w:rPr>
          <w:rFonts w:hint="eastAsia" w:ascii="Times New Roman" w:hAnsi="Times New Roman" w:eastAsia="黑体" w:cs="Times New Roman"/>
          <w:b/>
          <w:bCs/>
          <w:color w:val="auto"/>
          <w:kern w:val="2"/>
          <w:sz w:val="32"/>
          <w:szCs w:val="32"/>
          <w:highlight w:val="none"/>
          <w:u w:val="none"/>
          <w:lang w:val="en-US" w:eastAsia="zh-CN" w:bidi="ar-SA"/>
        </w:rPr>
      </w:pPr>
      <w:bookmarkStart w:id="183" w:name="_Toc12137"/>
      <w:bookmarkStart w:id="184" w:name="_Toc12086"/>
      <w:bookmarkStart w:id="185" w:name="_Toc7840"/>
      <w:r>
        <w:rPr>
          <w:rFonts w:hint="eastAsia" w:ascii="Times New Roman" w:hAnsi="Times New Roman" w:eastAsia="黑体" w:cs="Times New Roman"/>
          <w:b/>
          <w:bCs/>
          <w:color w:val="auto"/>
          <w:kern w:val="2"/>
          <w:sz w:val="32"/>
          <w:szCs w:val="32"/>
          <w:highlight w:val="none"/>
          <w:u w:val="none"/>
          <w:lang w:val="en-US" w:eastAsia="zh-CN" w:bidi="ar-SA"/>
        </w:rPr>
        <w:t>第三节推进绿色低碳发展</w:t>
      </w:r>
      <w:bookmarkEnd w:id="183"/>
      <w:bookmarkEnd w:id="184"/>
      <w:bookmarkEnd w:id="185"/>
    </w:p>
    <w:p w14:paraId="7D9EDA7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Times New Roman" w:hAnsi="Times New Roman" w:eastAsia="仿宋_GB2312" w:cs="Times New Roman"/>
          <w:color w:val="auto"/>
          <w:kern w:val="2"/>
          <w:sz w:val="32"/>
          <w:szCs w:val="32"/>
          <w:highlight w:val="none"/>
          <w:u w:val="none"/>
          <w:lang w:val="en-US" w:eastAsia="zh-CN" w:bidi="ar"/>
        </w:rPr>
        <w:t>以“双碳”目标为引领，推动产业绿色转型、能源绿色低碳升级、倡导绿色生活方式，构建绿色低碳循环发展体系。</w:t>
      </w:r>
    </w:p>
    <w:p w14:paraId="7369FB02">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楷体_GB2312" w:hAnsi="楷体_GB2312" w:eastAsia="楷体_GB2312" w:cs="楷体_GB2312"/>
          <w:b/>
          <w:bCs/>
          <w:color w:val="auto"/>
          <w:kern w:val="2"/>
          <w:sz w:val="32"/>
          <w:szCs w:val="32"/>
          <w:u w:val="none"/>
          <w:lang w:val="en-US" w:eastAsia="zh-CN" w:bidi="ar-SA"/>
        </w:rPr>
        <w:t>推动产业绿色转型。</w:t>
      </w:r>
      <w:r>
        <w:rPr>
          <w:rFonts w:hint="eastAsia" w:ascii="Times New Roman" w:hAnsi="Times New Roman" w:eastAsia="仿宋_GB2312" w:cs="Times New Roman"/>
          <w:color w:val="auto"/>
          <w:kern w:val="2"/>
          <w:sz w:val="32"/>
          <w:szCs w:val="32"/>
          <w:highlight w:val="none"/>
          <w:u w:val="none"/>
          <w:lang w:val="en-US" w:eastAsia="zh-CN" w:bidi="ar"/>
        </w:rPr>
        <w:t>立足扶沟县农业大县的基础，推动传统产业向绿色化、高端化、循环化方向发展。</w:t>
      </w:r>
      <w:r>
        <w:rPr>
          <w:rFonts w:hint="eastAsia" w:ascii="Times New Roman" w:hAnsi="Times New Roman" w:eastAsia="仿宋_GB2312" w:cs="Times New Roman"/>
          <w:b/>
          <w:bCs/>
          <w:color w:val="auto"/>
          <w:kern w:val="2"/>
          <w:sz w:val="32"/>
          <w:szCs w:val="32"/>
          <w:highlight w:val="none"/>
          <w:u w:val="none"/>
          <w:lang w:val="en-US" w:eastAsia="zh-CN" w:bidi="ar"/>
        </w:rPr>
        <w:t>发展生态循环农业，</w:t>
      </w:r>
      <w:r>
        <w:rPr>
          <w:rFonts w:hint="eastAsia" w:ascii="Times New Roman" w:hAnsi="Times New Roman" w:eastAsia="仿宋_GB2312" w:cs="Times New Roman"/>
          <w:color w:val="auto"/>
          <w:kern w:val="2"/>
          <w:sz w:val="32"/>
          <w:szCs w:val="32"/>
          <w:highlight w:val="none"/>
          <w:u w:val="none"/>
          <w:lang w:val="en-US" w:eastAsia="zh-CN" w:bidi="ar"/>
        </w:rPr>
        <w:t>推广测土配方施肥、绿色防控技术，减少化肥、农药施用量。加强畜禽养殖废弃物资源化利用，建设规模化沼气工程，促进种养结合、农牧循环。打造一批绿色食品、有机农产品生产基地，提升“扶沟蔬菜”等区域公共品牌的绿色价值。</w:t>
      </w:r>
      <w:r>
        <w:rPr>
          <w:rFonts w:hint="eastAsia" w:ascii="Times New Roman" w:hAnsi="Times New Roman" w:eastAsia="仿宋_GB2312" w:cs="Times New Roman"/>
          <w:b/>
          <w:bCs/>
          <w:color w:val="auto"/>
          <w:kern w:val="2"/>
          <w:sz w:val="32"/>
          <w:szCs w:val="32"/>
          <w:highlight w:val="none"/>
          <w:u w:val="none"/>
          <w:lang w:val="en-US" w:eastAsia="zh-CN" w:bidi="ar"/>
        </w:rPr>
        <w:t>推动工业绿色升级，</w:t>
      </w:r>
      <w:r>
        <w:rPr>
          <w:rFonts w:hint="eastAsia" w:ascii="Times New Roman" w:hAnsi="Times New Roman" w:eastAsia="仿宋_GB2312" w:cs="Times New Roman"/>
          <w:color w:val="auto"/>
          <w:kern w:val="2"/>
          <w:sz w:val="32"/>
          <w:szCs w:val="32"/>
          <w:highlight w:val="none"/>
          <w:u w:val="none"/>
          <w:lang w:val="en-US" w:eastAsia="zh-CN" w:bidi="ar"/>
        </w:rPr>
        <w:t>严格执行环保、能耗、质量、安全等标准，依法淘汰落后产能。对纺织、机械制造等传统产业实施绿色化改造，推广应用节能节水技术和装备。大力发展农产品精深加工、环保装备等低能耗、低排放产业，提高资源能源利用效率。</w:t>
      </w:r>
      <w:r>
        <w:rPr>
          <w:rFonts w:hint="eastAsia" w:ascii="Times New Roman" w:hAnsi="Times New Roman" w:eastAsia="仿宋_GB2312" w:cs="Times New Roman"/>
          <w:b/>
          <w:bCs/>
          <w:color w:val="auto"/>
          <w:kern w:val="2"/>
          <w:sz w:val="32"/>
          <w:szCs w:val="32"/>
          <w:highlight w:val="none"/>
          <w:u w:val="none"/>
          <w:lang w:val="en-US" w:eastAsia="zh-CN" w:bidi="ar"/>
        </w:rPr>
        <w:t>构建绿色供应链，</w:t>
      </w:r>
      <w:r>
        <w:rPr>
          <w:rFonts w:hint="eastAsia" w:ascii="Times New Roman" w:hAnsi="Times New Roman" w:eastAsia="仿宋_GB2312" w:cs="Times New Roman"/>
          <w:color w:val="auto"/>
          <w:kern w:val="2"/>
          <w:sz w:val="32"/>
          <w:szCs w:val="32"/>
          <w:highlight w:val="none"/>
          <w:u w:val="none"/>
          <w:lang w:val="en-US" w:eastAsia="zh-CN" w:bidi="ar"/>
        </w:rPr>
        <w:t>鼓励龙头企业率先实施绿色采购，引导上下游企业共同提升环境绩效。开展绿色工厂、绿色园区创建活动，推动企业开展清洁生产审核。</w:t>
      </w:r>
    </w:p>
    <w:p w14:paraId="4082B7D4">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楷体_GB2312" w:hAnsi="楷体_GB2312" w:eastAsia="楷体_GB2312" w:cs="楷体_GB2312"/>
          <w:b/>
          <w:bCs/>
          <w:color w:val="auto"/>
          <w:kern w:val="2"/>
          <w:sz w:val="32"/>
          <w:szCs w:val="32"/>
          <w:u w:val="none"/>
          <w:lang w:val="en-US" w:eastAsia="zh-CN" w:bidi="ar-SA"/>
        </w:rPr>
        <w:t>推进能源绿色低碳转型。</w:t>
      </w:r>
      <w:r>
        <w:rPr>
          <w:rFonts w:hint="eastAsia" w:ascii="Times New Roman" w:hAnsi="Times New Roman" w:eastAsia="仿宋_GB2312" w:cs="Times New Roman"/>
          <w:color w:val="auto"/>
          <w:kern w:val="2"/>
          <w:sz w:val="32"/>
          <w:szCs w:val="32"/>
          <w:highlight w:val="none"/>
          <w:u w:val="none"/>
          <w:lang w:val="en-US" w:eastAsia="zh-CN" w:bidi="ar"/>
        </w:rPr>
        <w:t>以保障能源安全和推动清洁替代为核心，优化县域能源消费结构。</w:t>
      </w:r>
      <w:r>
        <w:rPr>
          <w:rFonts w:hint="eastAsia" w:ascii="Times New Roman" w:hAnsi="Times New Roman" w:eastAsia="仿宋_GB2312" w:cs="Times New Roman"/>
          <w:b/>
          <w:bCs/>
          <w:color w:val="auto"/>
          <w:kern w:val="2"/>
          <w:sz w:val="32"/>
          <w:szCs w:val="32"/>
          <w:highlight w:val="none"/>
          <w:u w:val="none"/>
          <w:lang w:val="en-US" w:eastAsia="zh-CN" w:bidi="ar"/>
        </w:rPr>
        <w:t>大力发展可再生能源，</w:t>
      </w:r>
      <w:r>
        <w:rPr>
          <w:rFonts w:hint="eastAsia" w:ascii="Times New Roman" w:hAnsi="Times New Roman" w:eastAsia="仿宋_GB2312" w:cs="Times New Roman"/>
          <w:color w:val="auto"/>
          <w:kern w:val="2"/>
          <w:sz w:val="32"/>
          <w:szCs w:val="32"/>
          <w:highlight w:val="none"/>
          <w:u w:val="none"/>
          <w:lang w:val="en-US" w:eastAsia="zh-CN" w:bidi="ar"/>
        </w:rPr>
        <w:t>充分利用太阳能资源，有序推进分布式光伏发电应用，鼓励工商业厂房、公共建筑屋顶及农村居民屋顶安装光伏设施。合理开发生物质能，支持以农业废弃物、生活垃圾等为原料的生物质发电、供热项目。</w:t>
      </w:r>
      <w:r>
        <w:rPr>
          <w:rFonts w:hint="eastAsia" w:ascii="Times New Roman" w:hAnsi="Times New Roman" w:eastAsia="仿宋_GB2312" w:cs="Times New Roman"/>
          <w:b/>
          <w:bCs/>
          <w:color w:val="auto"/>
          <w:kern w:val="2"/>
          <w:sz w:val="32"/>
          <w:szCs w:val="32"/>
          <w:highlight w:val="none"/>
          <w:u w:val="none"/>
          <w:lang w:val="en-US" w:eastAsia="zh-CN" w:bidi="ar"/>
        </w:rPr>
        <w:t>提升能源利用效率，</w:t>
      </w:r>
      <w:r>
        <w:rPr>
          <w:rFonts w:hint="eastAsia" w:ascii="Times New Roman" w:hAnsi="Times New Roman" w:eastAsia="仿宋_GB2312" w:cs="Times New Roman"/>
          <w:color w:val="auto"/>
          <w:kern w:val="2"/>
          <w:sz w:val="32"/>
          <w:szCs w:val="32"/>
          <w:highlight w:val="none"/>
          <w:u w:val="none"/>
          <w:lang w:val="en-US" w:eastAsia="zh-CN" w:bidi="ar"/>
        </w:rPr>
        <w:t> 加强工业、建筑、交通等重点领域节能管理，实施一批节能技术改造项目。推广高效节能电器、照明产品，推动新建建筑全面执行绿色建筑标准。</w:t>
      </w:r>
      <w:r>
        <w:rPr>
          <w:rFonts w:hint="eastAsia" w:ascii="Times New Roman" w:hAnsi="Times New Roman" w:eastAsia="仿宋_GB2312" w:cs="Times New Roman"/>
          <w:b/>
          <w:bCs/>
          <w:color w:val="auto"/>
          <w:kern w:val="2"/>
          <w:sz w:val="32"/>
          <w:szCs w:val="32"/>
          <w:highlight w:val="none"/>
          <w:u w:val="none"/>
          <w:lang w:val="en-US" w:eastAsia="zh-CN" w:bidi="ar"/>
        </w:rPr>
        <w:t>完善能源基础设施，</w:t>
      </w:r>
      <w:r>
        <w:rPr>
          <w:rFonts w:hint="eastAsia" w:ascii="Times New Roman" w:hAnsi="Times New Roman" w:eastAsia="仿宋_GB2312" w:cs="Times New Roman"/>
          <w:color w:val="auto"/>
          <w:kern w:val="2"/>
          <w:sz w:val="32"/>
          <w:szCs w:val="32"/>
          <w:highlight w:val="none"/>
          <w:u w:val="none"/>
          <w:lang w:val="en-US" w:eastAsia="zh-CN" w:bidi="ar"/>
        </w:rPr>
        <w:t>优化城乡电网结构，提升对分布式可再生能源的消纳能力。逐步推进城乡供热管网建设，探索发展地热能等清洁供暖方式。</w:t>
      </w:r>
    </w:p>
    <w:p w14:paraId="747EE63F">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楷体_GB2312" w:hAnsi="楷体_GB2312" w:eastAsia="楷体_GB2312" w:cs="楷体_GB2312"/>
          <w:b/>
          <w:bCs/>
          <w:color w:val="auto"/>
          <w:kern w:val="2"/>
          <w:sz w:val="32"/>
          <w:szCs w:val="32"/>
          <w:u w:val="none"/>
          <w:lang w:val="en-US" w:eastAsia="zh-CN" w:bidi="ar-SA"/>
        </w:rPr>
        <w:t>倡导绿色生活方式。</w:t>
      </w:r>
      <w:r>
        <w:rPr>
          <w:rFonts w:hint="eastAsia" w:ascii="Times New Roman" w:hAnsi="Times New Roman" w:eastAsia="仿宋_GB2312" w:cs="Times New Roman"/>
          <w:color w:val="auto"/>
          <w:kern w:val="2"/>
          <w:sz w:val="32"/>
          <w:szCs w:val="32"/>
          <w:highlight w:val="none"/>
          <w:u w:val="none"/>
          <w:lang w:val="en-US" w:eastAsia="zh-CN" w:bidi="ar"/>
        </w:rPr>
        <w:t>开展全民低碳宣传，倡导简约适度、绿色低碳的消费模式，推动公共机构率先减排。构建清洁低碳、安全高效的能源体系和产业体系，力争创建“低碳园区”“低碳企业”试点，推动经济社会发展全面绿色转型。</w:t>
      </w:r>
    </w:p>
    <w:p w14:paraId="4E157140">
      <w:pPr>
        <w:keepNext w:val="0"/>
        <w:keepLines w:val="0"/>
        <w:pageBreakBefore w:val="0"/>
        <w:widowControl w:val="0"/>
        <w:kinsoku/>
        <w:wordWrap/>
        <w:overflowPunct/>
        <w:topLinePunct w:val="0"/>
        <w:autoSpaceDE/>
        <w:autoSpaceDN/>
        <w:bidi w:val="0"/>
        <w:adjustRightInd w:val="0"/>
        <w:snapToGrid w:val="0"/>
        <w:spacing w:after="721" w:afterLines="200" w:line="560" w:lineRule="exact"/>
        <w:ind w:firstLine="640"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Times New Roman" w:hAnsi="Times New Roman" w:eastAsia="仿宋_GB2312" w:cs="Times New Roman"/>
          <w:color w:val="auto"/>
          <w:kern w:val="2"/>
          <w:sz w:val="32"/>
          <w:szCs w:val="32"/>
          <w:highlight w:val="none"/>
          <w:u w:val="none"/>
          <w:lang w:val="en-US" w:eastAsia="zh-CN" w:bidi="ar"/>
        </w:rPr>
        <w:t>目标到2030年，</w:t>
      </w:r>
      <w:r>
        <w:rPr>
          <w:rFonts w:hint="eastAsia" w:ascii="Times New Roman" w:hAnsi="Times New Roman" w:eastAsia="仿宋_GB2312" w:cs="Times New Roman"/>
          <w:b/>
          <w:bCs/>
          <w:color w:val="auto"/>
          <w:kern w:val="2"/>
          <w:sz w:val="32"/>
          <w:szCs w:val="32"/>
          <w:highlight w:val="none"/>
          <w:u w:val="none"/>
          <w:lang w:val="en-US" w:eastAsia="zh-CN" w:bidi="ar"/>
        </w:rPr>
        <w:t>产业结构显著优化，</w:t>
      </w:r>
      <w:r>
        <w:rPr>
          <w:rFonts w:hint="eastAsia" w:ascii="Times New Roman" w:hAnsi="Times New Roman" w:eastAsia="仿宋_GB2312" w:cs="Times New Roman"/>
          <w:color w:val="auto"/>
          <w:kern w:val="2"/>
          <w:sz w:val="32"/>
          <w:szCs w:val="32"/>
          <w:highlight w:val="none"/>
          <w:u w:val="none"/>
          <w:lang w:val="en-US" w:eastAsia="zh-CN" w:bidi="ar"/>
        </w:rPr>
        <w:t>单位GDP二氧化碳排放强度较2025年下降完成省市下达目标，高技术产业和绿色产业增加值占规上工业比重显著提升；</w:t>
      </w:r>
      <w:r>
        <w:rPr>
          <w:rFonts w:hint="eastAsia" w:ascii="Times New Roman" w:hAnsi="Times New Roman" w:eastAsia="仿宋_GB2312" w:cs="Times New Roman"/>
          <w:b/>
          <w:bCs/>
          <w:color w:val="auto"/>
          <w:kern w:val="2"/>
          <w:sz w:val="32"/>
          <w:szCs w:val="32"/>
          <w:highlight w:val="none"/>
          <w:u w:val="none"/>
          <w:lang w:val="en-US" w:eastAsia="zh-CN" w:bidi="ar"/>
        </w:rPr>
        <w:t>能源结构持续改善，</w:t>
      </w:r>
      <w:r>
        <w:rPr>
          <w:rFonts w:hint="eastAsia" w:ascii="Times New Roman" w:hAnsi="Times New Roman" w:eastAsia="仿宋_GB2312" w:cs="Times New Roman"/>
          <w:color w:val="auto"/>
          <w:kern w:val="2"/>
          <w:sz w:val="32"/>
          <w:szCs w:val="32"/>
          <w:highlight w:val="none"/>
          <w:u w:val="none"/>
          <w:lang w:val="en-US" w:eastAsia="zh-CN" w:bidi="ar"/>
        </w:rPr>
        <w:t>非化石能源消费占比达到省市要求，分布式光伏装机容量实现大幅增长，能源消费总量和强度控制达到预期目标。</w:t>
      </w:r>
      <w:r>
        <w:rPr>
          <w:rFonts w:hint="eastAsia" w:ascii="Times New Roman" w:hAnsi="Times New Roman" w:eastAsia="仿宋_GB2312" w:cs="Times New Roman"/>
          <w:b/>
          <w:bCs/>
          <w:color w:val="auto"/>
          <w:kern w:val="2"/>
          <w:sz w:val="32"/>
          <w:szCs w:val="32"/>
          <w:highlight w:val="none"/>
          <w:u w:val="none"/>
          <w:lang w:val="en-US" w:eastAsia="zh-CN" w:bidi="ar"/>
        </w:rPr>
        <w:t>环境质量稳固提升，</w:t>
      </w:r>
      <w:r>
        <w:rPr>
          <w:rFonts w:hint="eastAsia" w:ascii="Times New Roman" w:hAnsi="Times New Roman" w:eastAsia="仿宋_GB2312" w:cs="Times New Roman"/>
          <w:color w:val="auto"/>
          <w:kern w:val="2"/>
          <w:sz w:val="32"/>
          <w:szCs w:val="32"/>
          <w:highlight w:val="none"/>
          <w:u w:val="none"/>
          <w:lang w:val="en-US" w:eastAsia="zh-CN" w:bidi="ar"/>
        </w:rPr>
        <w:t>空气质量优良天数比率稳定提升，细颗粒物（PM2.5）年均浓度持续下降；主要河流断面水质稳定达标，水质类别稳中有升。</w:t>
      </w:r>
      <w:r>
        <w:rPr>
          <w:rFonts w:hint="eastAsia" w:ascii="Times New Roman" w:hAnsi="Times New Roman" w:eastAsia="仿宋_GB2312" w:cs="Times New Roman"/>
          <w:b/>
          <w:bCs/>
          <w:color w:val="auto"/>
          <w:kern w:val="2"/>
          <w:sz w:val="32"/>
          <w:szCs w:val="32"/>
          <w:highlight w:val="none"/>
          <w:u w:val="none"/>
          <w:lang w:val="en-US" w:eastAsia="zh-CN" w:bidi="ar"/>
        </w:rPr>
        <w:t>绿色生活蔚然成风，</w:t>
      </w:r>
      <w:r>
        <w:rPr>
          <w:rFonts w:hint="eastAsia" w:ascii="Times New Roman" w:hAnsi="Times New Roman" w:eastAsia="仿宋_GB2312" w:cs="Times New Roman"/>
          <w:color w:val="auto"/>
          <w:kern w:val="2"/>
          <w:sz w:val="32"/>
          <w:szCs w:val="32"/>
          <w:highlight w:val="none"/>
          <w:u w:val="none"/>
          <w:lang w:val="en-US" w:eastAsia="zh-CN" w:bidi="ar"/>
        </w:rPr>
        <w:t>城镇绿色建筑占新建建筑比例大幅提升，生活垃圾分类覆盖率大幅提升，公众绿色出行率和生态文明知识普及率显著提高。</w:t>
      </w:r>
    </w:p>
    <w:tbl>
      <w:tblPr>
        <w:tblStyle w:val="2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74"/>
      </w:tblGrid>
      <w:tr w14:paraId="539E68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jc w:val="center"/>
        </w:trPr>
        <w:tc>
          <w:tcPr>
            <w:tcW w:w="8674" w:type="dxa"/>
            <w:noWrap w:val="0"/>
            <w:vAlign w:val="center"/>
          </w:tcPr>
          <w:p w14:paraId="52E75224">
            <w:pPr>
              <w:keepNext w:val="0"/>
              <w:keepLines w:val="0"/>
              <w:pageBreakBefore w:val="0"/>
              <w:widowControl w:val="0"/>
              <w:suppressLineNumbers w:val="0"/>
              <w:kinsoku/>
              <w:wordWrap/>
              <w:overflowPunct/>
              <w:topLinePunct w:val="0"/>
              <w:autoSpaceDE/>
              <w:autoSpaceDN/>
              <w:bidi w:val="0"/>
              <w:adjustRightInd w:val="0"/>
              <w:snapToGrid w:val="0"/>
              <w:spacing w:beforeAutospacing="0" w:afterAutospacing="0" w:line="400" w:lineRule="exact"/>
              <w:ind w:left="0" w:right="0" w:firstLine="0" w:firstLineChars="0"/>
              <w:jc w:val="center"/>
              <w:textAlignment w:val="auto"/>
              <w:rPr>
                <w:rFonts w:hint="default" w:ascii="Times New Roman" w:hAnsi="Times New Roman" w:eastAsia="仿宋" w:cs="Times New Roman"/>
                <w:color w:val="auto"/>
                <w:sz w:val="28"/>
                <w:szCs w:val="28"/>
                <w:highlight w:val="none"/>
                <w:u w:val="none"/>
                <w:shd w:val="clear" w:color="auto" w:fill="FFFFFF"/>
              </w:rPr>
            </w:pPr>
            <w:r>
              <w:rPr>
                <w:rFonts w:hint="eastAsia" w:ascii="楷体_GB2312" w:hAnsi="楷体_GB2312" w:eastAsia="楷体_GB2312" w:cs="楷体_GB2312"/>
                <w:b/>
                <w:bCs w:val="0"/>
                <w:color w:val="auto"/>
                <w:sz w:val="28"/>
                <w:szCs w:val="28"/>
                <w:highlight w:val="none"/>
                <w:u w:val="none"/>
                <w:shd w:val="clear" w:color="auto" w:fill="FFFFFF"/>
              </w:rPr>
              <w:t>专栏</w:t>
            </w:r>
            <w:r>
              <w:rPr>
                <w:rFonts w:hint="eastAsia" w:ascii="楷体_GB2312" w:hAnsi="楷体_GB2312" w:eastAsia="楷体_GB2312" w:cs="楷体_GB2312"/>
                <w:b/>
                <w:bCs w:val="0"/>
                <w:color w:val="auto"/>
                <w:sz w:val="28"/>
                <w:szCs w:val="28"/>
                <w:highlight w:val="none"/>
                <w:u w:val="none"/>
                <w:shd w:val="clear" w:color="auto" w:fill="FFFFFF"/>
                <w:lang w:val="en-US" w:eastAsia="zh-CN"/>
              </w:rPr>
              <w:t>8-3</w:t>
            </w:r>
            <w:r>
              <w:rPr>
                <w:rFonts w:hint="eastAsia" w:ascii="楷体_GB2312" w:hAnsi="楷体_GB2312" w:eastAsia="楷体_GB2312" w:cs="楷体_GB2312"/>
                <w:b/>
                <w:bCs w:val="0"/>
                <w:color w:val="auto"/>
                <w:sz w:val="28"/>
                <w:szCs w:val="28"/>
                <w:highlight w:val="none"/>
                <w:u w:val="none"/>
                <w:shd w:val="clear" w:color="auto" w:fill="FFFFFF"/>
              </w:rPr>
              <w:t>：</w:t>
            </w:r>
            <w:r>
              <w:rPr>
                <w:rFonts w:hint="eastAsia" w:ascii="楷体_GB2312" w:hAnsi="楷体_GB2312" w:eastAsia="楷体_GB2312" w:cs="楷体_GB2312"/>
                <w:b/>
                <w:bCs w:val="0"/>
                <w:color w:val="auto"/>
                <w:sz w:val="28"/>
                <w:szCs w:val="28"/>
                <w:highlight w:val="none"/>
                <w:u w:val="none"/>
                <w:shd w:val="clear" w:color="auto" w:fill="FFFFFF"/>
                <w:lang w:val="en-US" w:eastAsia="zh-CN"/>
              </w:rPr>
              <w:t>“十五五”期间绿色低碳重点工程</w:t>
            </w:r>
          </w:p>
        </w:tc>
      </w:tr>
      <w:tr w14:paraId="31FFE4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jc w:val="center"/>
        </w:trPr>
        <w:tc>
          <w:tcPr>
            <w:tcW w:w="8674" w:type="dxa"/>
            <w:noWrap w:val="0"/>
            <w:vAlign w:val="center"/>
          </w:tcPr>
          <w:p w14:paraId="4B59DFD4">
            <w:pPr>
              <w:keepNext w:val="0"/>
              <w:keepLines w:val="0"/>
              <w:pageBreakBefore w:val="0"/>
              <w:widowControl w:val="0"/>
              <w:suppressLineNumbers w:val="0"/>
              <w:kinsoku/>
              <w:wordWrap/>
              <w:overflowPunct/>
              <w:topLinePunct w:val="0"/>
              <w:autoSpaceDE/>
              <w:autoSpaceDN/>
              <w:bidi w:val="0"/>
              <w:adjustRightInd w:val="0"/>
              <w:snapToGrid w:val="0"/>
              <w:spacing w:beforeAutospacing="0" w:afterAutospacing="0" w:line="400" w:lineRule="exact"/>
              <w:ind w:left="0" w:right="0" w:firstLine="562" w:firstLineChars="200"/>
              <w:jc w:val="both"/>
              <w:textAlignment w:val="auto"/>
              <w:rPr>
                <w:rFonts w:hint="eastAsia"/>
                <w:lang w:val="en-US" w:eastAsia="zh-CN"/>
              </w:rPr>
            </w:pPr>
            <w:r>
              <w:rPr>
                <w:rFonts w:hint="eastAsia" w:ascii="Times New Roman" w:hAnsi="Times New Roman" w:eastAsia="仿宋_GB2312" w:cs="Times New Roman"/>
                <w:b/>
                <w:bCs/>
                <w:color w:val="auto"/>
                <w:kern w:val="2"/>
                <w:sz w:val="28"/>
                <w:szCs w:val="28"/>
                <w:highlight w:val="none"/>
                <w:u w:val="none"/>
                <w:lang w:val="en-US" w:eastAsia="zh-CN" w:bidi="ar-SA"/>
              </w:rPr>
              <w:t>重点实施</w:t>
            </w:r>
            <w:r>
              <w:rPr>
                <w:rFonts w:hint="eastAsia" w:ascii="Times New Roman" w:hAnsi="Times New Roman" w:eastAsia="仿宋_GB2312" w:cs="Times New Roman"/>
                <w:color w:val="auto"/>
                <w:kern w:val="2"/>
                <w:sz w:val="28"/>
                <w:szCs w:val="28"/>
                <w:highlight w:val="none"/>
                <w:u w:val="none"/>
                <w:lang w:val="en-US" w:eastAsia="zh-CN" w:bidi="ar-SA"/>
              </w:rPr>
              <w:t>扶沟县再生资源综合利用产业园、扶沟县再生资源收运处理项目、扶沟县废旧电池回收及利用产业园、扶沟县再生资源回收站、扶沟县零碳产业园、扶沟县工商业分布式光伏低碳转化项目、扶沟县畜禽粪污及秸秆综合利用清洁能源项目、扶沟县农村坑塘渔光互补光伏开发项目、扶沟县城乡生活垃圾发电场提升项目、扶沟县西气东输一线108阀室开口新建天然气分输站及门站项目。</w:t>
            </w:r>
          </w:p>
        </w:tc>
      </w:tr>
    </w:tbl>
    <w:p w14:paraId="59795564">
      <w:pPr>
        <w:keepNext/>
        <w:keepLines/>
        <w:pageBreakBefore w:val="0"/>
        <w:widowControl w:val="0"/>
        <w:numPr>
          <w:ilvl w:val="0"/>
          <w:numId w:val="0"/>
        </w:numPr>
        <w:kinsoku/>
        <w:wordWrap/>
        <w:overflowPunct/>
        <w:topLinePunct w:val="0"/>
        <w:autoSpaceDE/>
        <w:autoSpaceDN/>
        <w:bidi w:val="0"/>
        <w:adjustRightInd w:val="0"/>
        <w:snapToGrid w:val="0"/>
        <w:spacing w:before="541" w:beforeLines="150" w:after="156" w:afterLines="50" w:line="560" w:lineRule="exact"/>
        <w:ind w:leftChars="0"/>
        <w:jc w:val="center"/>
        <w:textAlignment w:val="auto"/>
        <w:outlineLvl w:val="2"/>
        <w:rPr>
          <w:rFonts w:hint="eastAsia" w:ascii="Times New Roman" w:hAnsi="Times New Roman" w:eastAsia="黑体" w:cs="Times New Roman"/>
          <w:b/>
          <w:bCs/>
          <w:color w:val="auto"/>
          <w:kern w:val="2"/>
          <w:sz w:val="32"/>
          <w:szCs w:val="32"/>
          <w:highlight w:val="none"/>
          <w:u w:val="none"/>
          <w:lang w:val="en-US" w:eastAsia="zh-CN" w:bidi="ar-SA"/>
        </w:rPr>
      </w:pPr>
      <w:bookmarkStart w:id="186" w:name="_Toc5931"/>
      <w:bookmarkStart w:id="187" w:name="_Toc18970"/>
      <w:bookmarkStart w:id="188" w:name="_Toc4234"/>
      <w:r>
        <w:rPr>
          <w:rFonts w:hint="eastAsia" w:ascii="Times New Roman" w:hAnsi="Times New Roman" w:eastAsia="黑体" w:cs="Times New Roman"/>
          <w:b/>
          <w:bCs/>
          <w:color w:val="auto"/>
          <w:kern w:val="2"/>
          <w:sz w:val="32"/>
          <w:szCs w:val="32"/>
          <w:highlight w:val="none"/>
          <w:u w:val="none"/>
          <w:lang w:val="en-US" w:eastAsia="zh-CN" w:bidi="ar-SA"/>
        </w:rPr>
        <w:t>第四节激活生态产品价值</w:t>
      </w:r>
      <w:bookmarkEnd w:id="186"/>
      <w:bookmarkEnd w:id="187"/>
      <w:bookmarkEnd w:id="188"/>
    </w:p>
    <w:p w14:paraId="4888186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Times New Roman" w:hAnsi="Times New Roman" w:eastAsia="仿宋_GB2312" w:cs="Times New Roman"/>
          <w:color w:val="auto"/>
          <w:kern w:val="2"/>
          <w:sz w:val="32"/>
          <w:szCs w:val="32"/>
          <w:highlight w:val="none"/>
          <w:u w:val="none"/>
          <w:lang w:val="en-US" w:eastAsia="zh-CN" w:bidi="ar"/>
        </w:rPr>
        <w:t>以生态产品价值转化为核心，建立生态产品价值核算体系、完善生态补偿机制、推进生态资源权益交易，探索自然资源领域生态产品价值实现可行路径，实现生态保护与经济发展双赢。</w:t>
      </w:r>
    </w:p>
    <w:p w14:paraId="24A5B937">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楷体_GB2312" w:hAnsi="楷体_GB2312" w:eastAsia="楷体_GB2312" w:cs="楷体_GB2312"/>
          <w:b/>
          <w:bCs/>
          <w:color w:val="auto"/>
          <w:kern w:val="2"/>
          <w:sz w:val="32"/>
          <w:szCs w:val="32"/>
          <w:u w:val="none"/>
          <w:lang w:val="en-US" w:eastAsia="zh-CN" w:bidi="ar-SA"/>
        </w:rPr>
        <w:t>建立生态产品价值核算体系。</w:t>
      </w:r>
      <w:r>
        <w:rPr>
          <w:rFonts w:hint="eastAsia" w:ascii="Times New Roman" w:hAnsi="Times New Roman" w:eastAsia="仿宋_GB2312" w:cs="Times New Roman"/>
          <w:b/>
          <w:bCs/>
          <w:color w:val="auto"/>
          <w:kern w:val="2"/>
          <w:sz w:val="32"/>
          <w:szCs w:val="32"/>
          <w:highlight w:val="none"/>
          <w:u w:val="none"/>
          <w:lang w:val="en-US" w:eastAsia="zh-CN" w:bidi="ar"/>
        </w:rPr>
        <w:t>开展资源本底调查，</w:t>
      </w:r>
      <w:r>
        <w:rPr>
          <w:rFonts w:hint="eastAsia" w:ascii="Times New Roman" w:hAnsi="Times New Roman" w:eastAsia="仿宋_GB2312" w:cs="Times New Roman"/>
          <w:color w:val="auto"/>
          <w:kern w:val="2"/>
          <w:sz w:val="32"/>
          <w:szCs w:val="32"/>
          <w:highlight w:val="none"/>
          <w:u w:val="none"/>
          <w:lang w:val="en-US" w:eastAsia="zh-CN" w:bidi="ar"/>
        </w:rPr>
        <w:t>在“十五五”前期，全面普查并动态监测我县的林地、农田、湿地、空气等自然资源的存量与质量，建立“扶沟县生态资源资产一张图”。</w:t>
      </w:r>
      <w:r>
        <w:rPr>
          <w:rFonts w:hint="eastAsia" w:ascii="Times New Roman" w:hAnsi="Times New Roman" w:eastAsia="仿宋_GB2312" w:cs="Times New Roman"/>
          <w:b/>
          <w:bCs/>
          <w:color w:val="auto"/>
          <w:kern w:val="2"/>
          <w:sz w:val="32"/>
          <w:szCs w:val="32"/>
          <w:highlight w:val="none"/>
          <w:u w:val="none"/>
          <w:lang w:val="en-US" w:eastAsia="zh-CN" w:bidi="ar"/>
        </w:rPr>
        <w:t>构建核算标准与应用机制，</w:t>
      </w:r>
      <w:r>
        <w:rPr>
          <w:rFonts w:hint="eastAsia" w:ascii="Times New Roman" w:hAnsi="Times New Roman" w:eastAsia="仿宋_GB2312" w:cs="Times New Roman"/>
          <w:color w:val="auto"/>
          <w:kern w:val="2"/>
          <w:sz w:val="32"/>
          <w:szCs w:val="32"/>
          <w:highlight w:val="none"/>
          <w:u w:val="none"/>
          <w:lang w:val="en-US" w:eastAsia="zh-CN" w:bidi="ar"/>
        </w:rPr>
        <w:t>借鉴国家及省级指南，研究制定符合扶沟实际的生态产品价值核算地方标准。重点核算我县特色农产品（如扶沟西瓜、蔬菜）的绿色生态溢价、森林碳汇、水源涵养、空气净化等调节服务类产品的价值。推动核算结果在政府决策、绩效考核、项目评估中的应用，让“绿水青山”有价可循。</w:t>
      </w:r>
    </w:p>
    <w:p w14:paraId="007F6779">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楷体_GB2312" w:hAnsi="楷体_GB2312" w:eastAsia="楷体_GB2312" w:cs="楷体_GB2312"/>
          <w:b/>
          <w:bCs/>
          <w:color w:val="auto"/>
          <w:kern w:val="2"/>
          <w:sz w:val="32"/>
          <w:szCs w:val="32"/>
          <w:u w:val="none"/>
          <w:lang w:val="en-US" w:eastAsia="zh-CN" w:bidi="ar-SA"/>
        </w:rPr>
        <w:t>完善生态补偿机制。</w:t>
      </w:r>
      <w:r>
        <w:rPr>
          <w:rFonts w:hint="eastAsia" w:ascii="Times New Roman" w:hAnsi="Times New Roman" w:eastAsia="仿宋_GB2312" w:cs="Times New Roman"/>
          <w:b/>
          <w:bCs/>
          <w:color w:val="auto"/>
          <w:kern w:val="2"/>
          <w:sz w:val="32"/>
          <w:szCs w:val="32"/>
          <w:highlight w:val="none"/>
          <w:u w:val="none"/>
          <w:lang w:val="en-US" w:eastAsia="zh-CN" w:bidi="ar"/>
        </w:rPr>
        <w:t>深化纵向生态补偿，</w:t>
      </w:r>
      <w:r>
        <w:rPr>
          <w:rFonts w:hint="eastAsia" w:ascii="Times New Roman" w:hAnsi="Times New Roman" w:eastAsia="仿宋_GB2312" w:cs="Times New Roman"/>
          <w:color w:val="auto"/>
          <w:kern w:val="2"/>
          <w:sz w:val="32"/>
          <w:szCs w:val="32"/>
          <w:highlight w:val="none"/>
          <w:u w:val="none"/>
          <w:lang w:val="en-US" w:eastAsia="zh-CN" w:bidi="ar"/>
        </w:rPr>
        <w:t>积极争取国家和省级财政生态转移支付，重点针对我县重要的水源地、基本农田保护区、生态公益林区，争取更多的补偿资金，用于支持当地的生态修复和民生改善。</w:t>
      </w:r>
      <w:r>
        <w:rPr>
          <w:rFonts w:hint="eastAsia" w:ascii="Times New Roman" w:hAnsi="Times New Roman" w:eastAsia="仿宋_GB2312" w:cs="Times New Roman"/>
          <w:b/>
          <w:bCs/>
          <w:color w:val="auto"/>
          <w:kern w:val="2"/>
          <w:sz w:val="32"/>
          <w:szCs w:val="32"/>
          <w:highlight w:val="none"/>
          <w:u w:val="none"/>
          <w:lang w:val="en-US" w:eastAsia="zh-CN" w:bidi="ar"/>
        </w:rPr>
        <w:t>探索横向生态补偿，</w:t>
      </w:r>
      <w:r>
        <w:rPr>
          <w:rFonts w:hint="eastAsia" w:ascii="Times New Roman" w:hAnsi="Times New Roman" w:eastAsia="仿宋_GB2312" w:cs="Times New Roman"/>
          <w:color w:val="auto"/>
          <w:kern w:val="2"/>
          <w:sz w:val="32"/>
          <w:szCs w:val="32"/>
          <w:highlight w:val="none"/>
          <w:u w:val="none"/>
          <w:lang w:val="en-US" w:eastAsia="zh-CN" w:bidi="ar"/>
        </w:rPr>
        <w:t>建立县域内上下游、重点保护区与受益区之间的横向生态补偿机制。探索由下游乡镇或工业园区，对为保护水质做出贡献的上游乡镇进行资金补偿、产业扶持或人才交流。</w:t>
      </w:r>
      <w:r>
        <w:rPr>
          <w:rFonts w:hint="eastAsia" w:ascii="Times New Roman" w:hAnsi="Times New Roman" w:eastAsia="仿宋_GB2312" w:cs="Times New Roman"/>
          <w:b/>
          <w:bCs/>
          <w:color w:val="auto"/>
          <w:kern w:val="2"/>
          <w:sz w:val="32"/>
          <w:szCs w:val="32"/>
          <w:highlight w:val="none"/>
          <w:u w:val="none"/>
          <w:lang w:val="en-US" w:eastAsia="zh-CN" w:bidi="ar"/>
        </w:rPr>
        <w:t>推动市场化、多元化补偿，</w:t>
      </w:r>
      <w:r>
        <w:rPr>
          <w:rFonts w:hint="eastAsia" w:ascii="Times New Roman" w:hAnsi="Times New Roman" w:eastAsia="仿宋_GB2312" w:cs="Times New Roman"/>
          <w:color w:val="auto"/>
          <w:kern w:val="2"/>
          <w:sz w:val="32"/>
          <w:szCs w:val="32"/>
          <w:highlight w:val="none"/>
          <w:u w:val="none"/>
          <w:lang w:val="en-US" w:eastAsia="zh-CN" w:bidi="ar"/>
        </w:rPr>
        <w:t>鼓励社会资本投入生态保护领域，探索“保护者+受益者”共赢的合作模式。对采用绿色生产方式、有效保护生态环境的新型农业经营主体、村集体给予奖励或技术扶持。</w:t>
      </w:r>
    </w:p>
    <w:p w14:paraId="6A38EA6A">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楷体_GB2312" w:hAnsi="楷体_GB2312" w:eastAsia="楷体_GB2312" w:cs="楷体_GB2312"/>
          <w:b/>
          <w:bCs/>
          <w:color w:val="auto"/>
          <w:kern w:val="2"/>
          <w:sz w:val="32"/>
          <w:szCs w:val="32"/>
          <w:u w:val="none"/>
          <w:lang w:val="en-US" w:eastAsia="zh-CN" w:bidi="ar-SA"/>
        </w:rPr>
        <w:t>推进生态资源权益交易。</w:t>
      </w:r>
      <w:r>
        <w:rPr>
          <w:rFonts w:hint="eastAsia" w:ascii="Times New Roman" w:hAnsi="Times New Roman" w:eastAsia="仿宋_GB2312" w:cs="Times New Roman"/>
          <w:b/>
          <w:bCs/>
          <w:color w:val="auto"/>
          <w:kern w:val="2"/>
          <w:sz w:val="32"/>
          <w:szCs w:val="32"/>
          <w:highlight w:val="none"/>
          <w:u w:val="none"/>
          <w:lang w:val="en-US" w:eastAsia="zh-CN" w:bidi="ar"/>
        </w:rPr>
        <w:t>积极参与碳排放权交易，</w:t>
      </w:r>
      <w:r>
        <w:rPr>
          <w:rFonts w:hint="eastAsia" w:ascii="Times New Roman" w:hAnsi="Times New Roman" w:eastAsia="仿宋_GB2312" w:cs="Times New Roman"/>
          <w:color w:val="auto"/>
          <w:kern w:val="2"/>
          <w:sz w:val="32"/>
          <w:szCs w:val="32"/>
          <w:highlight w:val="none"/>
          <w:u w:val="none"/>
          <w:lang w:val="en-US" w:eastAsia="zh-CN" w:bidi="ar"/>
        </w:rPr>
        <w:t>鼓励县内符合条件的企业积极参与全国碳排放权交易市场。同时，提前布局林业碳汇项目开发，对我县符合条件的林地资源进行摸底、包装和项目储备，力争在“十五五”期间实现林业碳汇交易“零的突破”。</w:t>
      </w:r>
      <w:r>
        <w:rPr>
          <w:rFonts w:hint="eastAsia" w:ascii="Times New Roman" w:hAnsi="Times New Roman" w:eastAsia="仿宋_GB2312" w:cs="Times New Roman"/>
          <w:b/>
          <w:bCs/>
          <w:color w:val="auto"/>
          <w:kern w:val="2"/>
          <w:sz w:val="32"/>
          <w:szCs w:val="32"/>
          <w:highlight w:val="none"/>
          <w:u w:val="none"/>
          <w:lang w:val="en-US" w:eastAsia="zh-CN" w:bidi="ar"/>
        </w:rPr>
        <w:t>探索排污权与水权交易，</w:t>
      </w:r>
      <w:r>
        <w:rPr>
          <w:rFonts w:hint="eastAsia" w:ascii="Times New Roman" w:hAnsi="Times New Roman" w:eastAsia="仿宋_GB2312" w:cs="Times New Roman"/>
          <w:color w:val="auto"/>
          <w:kern w:val="2"/>
          <w:sz w:val="32"/>
          <w:szCs w:val="32"/>
          <w:highlight w:val="none"/>
          <w:u w:val="none"/>
          <w:lang w:val="en-US" w:eastAsia="zh-CN" w:bidi="ar"/>
        </w:rPr>
        <w:t>在严格落实污染物总量控制的前提下，探索建立县域内工业企业排污权有偿使用和交易制度，利用市场机制激励企业主动减排。适时探索农业用水水权交易，促进水资源节约集约利用。</w:t>
      </w:r>
      <w:r>
        <w:rPr>
          <w:rFonts w:hint="eastAsia" w:ascii="Times New Roman" w:hAnsi="Times New Roman" w:eastAsia="仿宋_GB2312" w:cs="Times New Roman"/>
          <w:b/>
          <w:bCs/>
          <w:color w:val="auto"/>
          <w:kern w:val="2"/>
          <w:sz w:val="32"/>
          <w:szCs w:val="32"/>
          <w:highlight w:val="none"/>
          <w:u w:val="none"/>
          <w:lang w:val="en-US" w:eastAsia="zh-CN" w:bidi="ar"/>
        </w:rPr>
        <w:t>创新“生态+”经营开发模式，</w:t>
      </w:r>
      <w:r>
        <w:rPr>
          <w:rFonts w:hint="eastAsia" w:ascii="Times New Roman" w:hAnsi="Times New Roman" w:eastAsia="仿宋_GB2312" w:cs="Times New Roman"/>
          <w:color w:val="auto"/>
          <w:kern w:val="2"/>
          <w:sz w:val="32"/>
          <w:szCs w:val="32"/>
          <w:highlight w:val="none"/>
          <w:u w:val="none"/>
          <w:lang w:val="en-US" w:eastAsia="zh-CN" w:bidi="ar"/>
        </w:rPr>
        <w:t>依托我县“扶沟蔬菜”的品牌优势和良好生态，大力发展生态农业、有机农业，打造高端生态农产品品牌，实现优质优价。推动“生态+旅游”“生态+康养”深度融合，将生态资源转化为可经营、可体验的旅游产品，提升生态产品的市场价值。</w:t>
      </w:r>
    </w:p>
    <w:p w14:paraId="11A28C9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Times New Roman" w:hAnsi="Times New Roman" w:eastAsia="仿宋_GB2312" w:cs="Times New Roman"/>
          <w:color w:val="auto"/>
          <w:kern w:val="2"/>
          <w:sz w:val="32"/>
          <w:szCs w:val="32"/>
          <w:highlight w:val="none"/>
          <w:u w:val="none"/>
          <w:lang w:val="en-US" w:eastAsia="zh-CN" w:bidi="ar"/>
        </w:rPr>
        <w:t>“十五五”期间，初步构建起“核算-补偿-交易”三位一体的生态产品价值实现路径。目标到2030年，实现全县生态产品价值对经济发展的贡献度显著提升，基本形成政府主导、企业和社会各界参与、市场化运作、可持续的生态产品价值实现路径， 努力走出一条生态美、产业兴、百姓富的可持续发展道路，让扶沟的蓝天白云、绿水青山、良田沃土成为支撑未来高质量发展的最大本钱和核心竞争力。</w:t>
      </w:r>
    </w:p>
    <w:p w14:paraId="4E3A9B11">
      <w:pPr>
        <w:keepNext/>
        <w:keepLines/>
        <w:pageBreakBefore w:val="0"/>
        <w:widowControl w:val="0"/>
        <w:numPr>
          <w:ilvl w:val="0"/>
          <w:numId w:val="0"/>
        </w:numPr>
        <w:kinsoku/>
        <w:wordWrap/>
        <w:overflowPunct/>
        <w:topLinePunct w:val="0"/>
        <w:autoSpaceDE/>
        <w:autoSpaceDN/>
        <w:bidi w:val="0"/>
        <w:adjustRightInd w:val="0"/>
        <w:snapToGrid w:val="0"/>
        <w:spacing w:before="541" w:beforeLines="150" w:after="439" w:afterLines="100" w:line="560" w:lineRule="exact"/>
        <w:ind w:leftChars="0"/>
        <w:jc w:val="center"/>
        <w:textAlignment w:val="auto"/>
        <w:outlineLvl w:val="1"/>
        <w:rPr>
          <w:rFonts w:hint="eastAsia" w:ascii="Times New Roman" w:hAnsi="Times New Roman" w:eastAsia="方正小标宋_GBK" w:cs="Times New Roman"/>
          <w:b/>
          <w:color w:val="auto"/>
          <w:kern w:val="2"/>
          <w:sz w:val="36"/>
          <w:szCs w:val="36"/>
          <w:highlight w:val="none"/>
          <w:u w:val="none"/>
          <w:lang w:val="en-US" w:eastAsia="zh-CN" w:bidi="ar-SA"/>
        </w:rPr>
      </w:pPr>
      <w:bookmarkStart w:id="189" w:name="_Toc28352"/>
      <w:bookmarkStart w:id="190" w:name="_Toc6380"/>
      <w:bookmarkStart w:id="191" w:name="_Toc12352"/>
      <w:bookmarkStart w:id="192" w:name="_Toc15891"/>
      <w:r>
        <w:rPr>
          <w:rFonts w:hint="eastAsia" w:ascii="Times New Roman" w:hAnsi="Times New Roman" w:eastAsia="方正小标宋_GBK" w:cs="Times New Roman"/>
          <w:b/>
          <w:color w:val="auto"/>
          <w:kern w:val="2"/>
          <w:sz w:val="36"/>
          <w:szCs w:val="36"/>
          <w:highlight w:val="none"/>
          <w:u w:val="none"/>
          <w:lang w:val="en-US" w:eastAsia="zh-CN" w:bidi="ar-SA"/>
        </w:rPr>
        <w:t>第九章夯实发展根基，持续迭代升级基础设施</w:t>
      </w:r>
      <w:bookmarkEnd w:id="189"/>
      <w:bookmarkEnd w:id="190"/>
      <w:bookmarkEnd w:id="191"/>
    </w:p>
    <w:p w14:paraId="6B1344F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Times New Roman" w:hAnsi="Times New Roman" w:eastAsia="仿宋_GB2312" w:cs="Times New Roman"/>
          <w:color w:val="auto"/>
          <w:kern w:val="2"/>
          <w:sz w:val="32"/>
          <w:szCs w:val="32"/>
          <w:highlight w:val="none"/>
          <w:u w:val="none"/>
          <w:lang w:val="en-US" w:eastAsia="zh-CN" w:bidi="ar"/>
        </w:rPr>
        <w:t>以构建“内畅外联、智能高效、安全韧性”的现代化基础设施体系为目标，统筹推进交通、能源、水利、信息等基础设施建设，构建系统完备、高效实用、智能绿色、安全可靠的现代化基础设施体系，为高质量建设现代化美好扶沟筑牢发展根基。</w:t>
      </w:r>
    </w:p>
    <w:p w14:paraId="77640EF1">
      <w:pPr>
        <w:keepNext/>
        <w:keepLines/>
        <w:pageBreakBefore w:val="0"/>
        <w:widowControl w:val="0"/>
        <w:numPr>
          <w:ilvl w:val="0"/>
          <w:numId w:val="0"/>
        </w:numPr>
        <w:kinsoku/>
        <w:wordWrap/>
        <w:overflowPunct/>
        <w:topLinePunct w:val="0"/>
        <w:autoSpaceDE/>
        <w:autoSpaceDN/>
        <w:bidi w:val="0"/>
        <w:adjustRightInd w:val="0"/>
        <w:snapToGrid w:val="0"/>
        <w:spacing w:before="156" w:beforeLines="50" w:after="156" w:afterLines="50" w:line="560" w:lineRule="exact"/>
        <w:ind w:leftChars="0"/>
        <w:jc w:val="center"/>
        <w:textAlignment w:val="auto"/>
        <w:outlineLvl w:val="2"/>
        <w:rPr>
          <w:rFonts w:hint="eastAsia" w:ascii="Times New Roman" w:hAnsi="Times New Roman" w:eastAsia="黑体" w:cs="Times New Roman"/>
          <w:b/>
          <w:bCs/>
          <w:color w:val="auto"/>
          <w:kern w:val="2"/>
          <w:sz w:val="32"/>
          <w:szCs w:val="32"/>
          <w:highlight w:val="none"/>
          <w:u w:val="none"/>
          <w:lang w:val="en-US" w:eastAsia="zh-CN" w:bidi="ar-SA"/>
        </w:rPr>
      </w:pPr>
      <w:bookmarkStart w:id="193" w:name="_Toc250"/>
      <w:bookmarkStart w:id="194" w:name="_Toc20451"/>
      <w:bookmarkStart w:id="195" w:name="_Toc3222"/>
      <w:r>
        <w:rPr>
          <w:rFonts w:hint="eastAsia" w:ascii="Times New Roman" w:hAnsi="Times New Roman" w:eastAsia="黑体" w:cs="Times New Roman"/>
          <w:b/>
          <w:bCs/>
          <w:color w:val="auto"/>
          <w:kern w:val="2"/>
          <w:sz w:val="32"/>
          <w:szCs w:val="32"/>
          <w:highlight w:val="none"/>
          <w:u w:val="none"/>
          <w:lang w:val="en-US" w:eastAsia="zh-CN" w:bidi="ar-SA"/>
        </w:rPr>
        <w:t>第一节构建内畅外联现代路网</w:t>
      </w:r>
      <w:bookmarkEnd w:id="193"/>
      <w:bookmarkEnd w:id="194"/>
      <w:bookmarkEnd w:id="195"/>
    </w:p>
    <w:p w14:paraId="15C5F9A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Times New Roman" w:hAnsi="Times New Roman" w:eastAsia="仿宋_GB2312" w:cs="Times New Roman"/>
          <w:color w:val="auto"/>
          <w:kern w:val="2"/>
          <w:sz w:val="32"/>
          <w:szCs w:val="32"/>
          <w:highlight w:val="none"/>
          <w:u w:val="none"/>
          <w:lang w:val="en-US" w:eastAsia="zh-CN" w:bidi="ar"/>
        </w:rPr>
        <w:t>以融入郑州都市圈、衔接周口国家区域中心港口城市为目标，统筹铁路、公路、水运、航空等运输方式，打造“双环三站四大门”交通格局，实现“半小时通周边、1小时达郑州、产业园区20分钟上高速、4A景区30分钟连干线”的交通通达目标。</w:t>
      </w:r>
    </w:p>
    <w:p w14:paraId="5E212200">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楷体_GB2312" w:hAnsi="楷体_GB2312" w:eastAsia="楷体_GB2312" w:cs="楷体_GB2312"/>
          <w:b/>
          <w:bCs/>
          <w:color w:val="auto"/>
          <w:kern w:val="2"/>
          <w:sz w:val="32"/>
          <w:szCs w:val="32"/>
          <w:highlight w:val="none"/>
          <w:u w:val="none"/>
          <w:lang w:val="en-US" w:eastAsia="zh-CN" w:bidi="ar-SA"/>
        </w:rPr>
        <w:t>织密公路网络。</w:t>
      </w:r>
      <w:r>
        <w:rPr>
          <w:rFonts w:hint="eastAsia" w:ascii="Times New Roman" w:hAnsi="Times New Roman" w:eastAsia="仿宋_GB2312" w:cs="Times New Roman"/>
          <w:color w:val="auto"/>
          <w:kern w:val="2"/>
          <w:sz w:val="32"/>
          <w:szCs w:val="32"/>
          <w:highlight w:val="none"/>
          <w:u w:val="none"/>
          <w:lang w:val="en-US" w:eastAsia="zh-CN" w:bidi="ar"/>
        </w:rPr>
        <w:t>以提升网络效率和衔接顺畅为重点，构建功能完善、结构合理、内畅外联的现代公路网络体系。畅通外部通道，推进G311、S102等干线公路升级改造，构建"三横四纵"主干路网框架，强化与周边地区及全国主要城市的快速交通连接，为实现“123运输圈”提供坚实的路网支撑，提升扶沟区域通达性。优化内部网络，重点实施“中心城区综合提升片”的道路改造工程，优化城区主干道路网结构，新增非机动车道40公里，改善慢行交通环境，同步优化公交线网布局，提升城市交通运行效率。完善“现代农业服务片”等关键区域的内部连接道路，保障农产品运输通道畅通。提升配套服务，扩展“司机之家”服务网络，在高铁站、医院等关键节点区域新增5处智能停车场，提供约2000个立体车位，并推广“共享车位”平台，接入社会车位资源，有效缓解“停车难”问题。同时，为物流企业开通“绿色通道”，实行跨部门联合检查“一次到位”，大幅压缩查验时间，提升物流效率。</w:t>
      </w:r>
    </w:p>
    <w:p w14:paraId="0165019A">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楷体_GB2312" w:hAnsi="楷体_GB2312" w:eastAsia="楷体_GB2312" w:cs="楷体_GB2312"/>
          <w:b/>
          <w:bCs/>
          <w:color w:val="auto"/>
          <w:kern w:val="2"/>
          <w:sz w:val="32"/>
          <w:szCs w:val="32"/>
          <w:highlight w:val="none"/>
          <w:u w:val="none"/>
          <w:lang w:val="en-US" w:eastAsia="zh-CN" w:bidi="ar-SA"/>
        </w:rPr>
        <w:t>强化铁路水运。</w:t>
      </w:r>
      <w:r>
        <w:rPr>
          <w:rFonts w:hint="eastAsia" w:ascii="Times New Roman" w:hAnsi="Times New Roman" w:eastAsia="仿宋_GB2312" w:cs="Times New Roman"/>
          <w:color w:val="auto"/>
          <w:kern w:val="2"/>
          <w:sz w:val="32"/>
          <w:szCs w:val="32"/>
          <w:highlight w:val="none"/>
          <w:u w:val="none"/>
          <w:lang w:val="en-US" w:eastAsia="zh-CN" w:bidi="ar"/>
        </w:rPr>
        <w:t>发挥铁路运输大运量、低成本优势和水运绿色环保、运能大的特点，构建多式联运的开放通道新格局。加快三洋铁路扶沟货运站配套设施建设，完善货运站装卸、仓储、转运等功能，开通至产业集聚区的货运专线，强化铁路与工业、物流园区的衔接，提升大宗商品运输效率。依托郑合高铁扶沟南站，优化客运服务设施，拓展高铁快运业务，打造“高铁枢纽经济片”，实现客运与货运协同发展。紧抓贾鲁河复航工程机遇，疏浚航道47公里，配套建设桥梁、船闸、涵闸、提灌泵站等设施，高标准建设码头及水上服务区，充分发挥内河航运优势，打通“通江达海”的水运通道。依托贾鲁河通航，发展临港经济，布局临港配套加工、物流仓储等产业，推动水运与产业深度融合，为县域经济发展注入新动能。</w:t>
      </w:r>
    </w:p>
    <w:p w14:paraId="6B26BC71">
      <w:pPr>
        <w:keepNext w:val="0"/>
        <w:keepLines w:val="0"/>
        <w:pageBreakBefore w:val="0"/>
        <w:widowControl w:val="0"/>
        <w:kinsoku/>
        <w:wordWrap/>
        <w:overflowPunct/>
        <w:topLinePunct w:val="0"/>
        <w:autoSpaceDE/>
        <w:autoSpaceDN/>
        <w:bidi w:val="0"/>
        <w:adjustRightInd w:val="0"/>
        <w:snapToGrid w:val="0"/>
        <w:spacing w:after="721" w:afterLines="200" w:line="560" w:lineRule="exact"/>
        <w:ind w:firstLine="643"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楷体_GB2312" w:hAnsi="楷体_GB2312" w:eastAsia="楷体_GB2312" w:cs="楷体_GB2312"/>
          <w:b/>
          <w:bCs/>
          <w:color w:val="auto"/>
          <w:kern w:val="2"/>
          <w:sz w:val="32"/>
          <w:szCs w:val="32"/>
          <w:highlight w:val="none"/>
          <w:u w:val="none"/>
          <w:lang w:val="en-US" w:eastAsia="zh-CN" w:bidi="ar-SA"/>
        </w:rPr>
        <w:t>提升枢纽能级。</w:t>
      </w:r>
      <w:r>
        <w:rPr>
          <w:rFonts w:hint="eastAsia" w:ascii="Times New Roman" w:hAnsi="Times New Roman" w:eastAsia="仿宋_GB2312" w:cs="Times New Roman"/>
          <w:color w:val="auto"/>
          <w:kern w:val="2"/>
          <w:sz w:val="32"/>
          <w:szCs w:val="32"/>
          <w:highlight w:val="none"/>
          <w:u w:val="none"/>
          <w:lang w:val="en-US" w:eastAsia="zh-CN" w:bidi="ar"/>
        </w:rPr>
        <w:t>以商贸物流枢纽基地建设为核心，推动枢纽经济、临港经济发展，实现交通与产业深度融合，提升综合服务能级。重点打造以郑合高铁扶沟南站为核心的综合交通枢纽，整合铁路、公路、水运资源，建设电商快递分拨中心，实现多式联运高效衔接。在曹里、韭园等蔬菜主产镇布局“现代农业服务片”，建设包含预冷、分拣、包装一体化设施的产地集散网络，打通蔬菜从田间到市场的快速通道。完善县域物流节点体系，建强县级物流分拨中心，优化乡镇物流服务站和村级物流服务点布局，构建“县-乡-村”三级物流网络，提升农产品上行和工业品下乡效率。依托综合交通枢纽，布局发展物流仓储、电商物流、会展经济等产业，吸引相关企业集聚，形成枢纽经济产业集群。以贾鲁河通航为契机，发展临港经济，重点布局农产品精深加工、临港物流、跨境贸易等业态，打造临港经济示范区。推动交通与产业融合，围绕蔬菜、汽车零部件、纺织服装等主导产业，建设专业化物流园区和运输通道，实现“产运销”一体化发展，提升产业竞争力。</w:t>
      </w:r>
    </w:p>
    <w:p w14:paraId="4A8F07E2">
      <w:pPr>
        <w:keepNext w:val="0"/>
        <w:keepLines w:val="0"/>
        <w:pageBreakBefore w:val="0"/>
        <w:widowControl w:val="0"/>
        <w:kinsoku/>
        <w:wordWrap/>
        <w:overflowPunct/>
        <w:topLinePunct w:val="0"/>
        <w:autoSpaceDE/>
        <w:autoSpaceDN/>
        <w:bidi w:val="0"/>
        <w:adjustRightInd w:val="0"/>
        <w:snapToGrid w:val="0"/>
        <w:spacing w:after="721" w:afterLines="200" w:line="560" w:lineRule="exact"/>
        <w:ind w:firstLine="640"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p>
    <w:p w14:paraId="12FF68DB">
      <w:pPr>
        <w:keepNext w:val="0"/>
        <w:keepLines w:val="0"/>
        <w:pageBreakBefore w:val="0"/>
        <w:widowControl w:val="0"/>
        <w:kinsoku/>
        <w:wordWrap/>
        <w:overflowPunct/>
        <w:topLinePunct w:val="0"/>
        <w:autoSpaceDE/>
        <w:autoSpaceDN/>
        <w:bidi w:val="0"/>
        <w:adjustRightInd w:val="0"/>
        <w:snapToGrid w:val="0"/>
        <w:spacing w:after="721" w:afterLines="200" w:line="560" w:lineRule="exact"/>
        <w:ind w:firstLine="640" w:firstLineChars="200"/>
        <w:textAlignment w:val="auto"/>
        <w:rPr>
          <w:rFonts w:hint="default" w:ascii="Times New Roman" w:hAnsi="Times New Roman" w:eastAsia="仿宋_GB2312" w:cs="Times New Roman"/>
          <w:color w:val="auto"/>
          <w:kern w:val="2"/>
          <w:sz w:val="32"/>
          <w:szCs w:val="32"/>
          <w:highlight w:val="none"/>
          <w:u w:val="none"/>
          <w:lang w:val="en-US" w:eastAsia="zh-CN" w:bidi="ar"/>
        </w:rPr>
      </w:pPr>
    </w:p>
    <w:tbl>
      <w:tblPr>
        <w:tblStyle w:val="2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74"/>
      </w:tblGrid>
      <w:tr w14:paraId="3C76A9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jc w:val="center"/>
        </w:trPr>
        <w:tc>
          <w:tcPr>
            <w:tcW w:w="8674" w:type="dxa"/>
            <w:noWrap w:val="0"/>
            <w:vAlign w:val="center"/>
          </w:tcPr>
          <w:p w14:paraId="6FF8A5BE">
            <w:pPr>
              <w:keepNext w:val="0"/>
              <w:keepLines w:val="0"/>
              <w:pageBreakBefore w:val="0"/>
              <w:widowControl w:val="0"/>
              <w:suppressLineNumbers w:val="0"/>
              <w:kinsoku/>
              <w:wordWrap/>
              <w:overflowPunct/>
              <w:topLinePunct w:val="0"/>
              <w:autoSpaceDE/>
              <w:autoSpaceDN/>
              <w:bidi w:val="0"/>
              <w:adjustRightInd w:val="0"/>
              <w:snapToGrid w:val="0"/>
              <w:spacing w:beforeAutospacing="0" w:afterAutospacing="0" w:line="400" w:lineRule="exact"/>
              <w:ind w:left="0" w:right="0" w:firstLine="0" w:firstLineChars="0"/>
              <w:jc w:val="center"/>
              <w:textAlignment w:val="auto"/>
              <w:rPr>
                <w:rFonts w:hint="default" w:ascii="Times New Roman" w:hAnsi="Times New Roman" w:eastAsia="仿宋" w:cs="Times New Roman"/>
                <w:color w:val="auto"/>
                <w:sz w:val="28"/>
                <w:szCs w:val="28"/>
                <w:highlight w:val="none"/>
                <w:u w:val="none"/>
                <w:shd w:val="clear" w:color="auto" w:fill="FFFFFF"/>
              </w:rPr>
            </w:pPr>
            <w:r>
              <w:rPr>
                <w:rFonts w:hint="eastAsia" w:ascii="楷体_GB2312" w:hAnsi="楷体_GB2312" w:eastAsia="楷体_GB2312" w:cs="楷体_GB2312"/>
                <w:b/>
                <w:bCs w:val="0"/>
                <w:color w:val="auto"/>
                <w:sz w:val="28"/>
                <w:szCs w:val="28"/>
                <w:highlight w:val="none"/>
                <w:u w:val="none"/>
                <w:shd w:val="clear" w:color="auto" w:fill="FFFFFF"/>
                <w:lang w:val="en-US" w:eastAsia="zh-CN"/>
              </w:rPr>
              <w:t>专栏9-1：“十五五”期间交通基础设施重点项目</w:t>
            </w:r>
          </w:p>
        </w:tc>
      </w:tr>
      <w:tr w14:paraId="7D3315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jc w:val="center"/>
        </w:trPr>
        <w:tc>
          <w:tcPr>
            <w:tcW w:w="8674" w:type="dxa"/>
            <w:noWrap w:val="0"/>
            <w:vAlign w:val="center"/>
          </w:tcPr>
          <w:p w14:paraId="1E632B3E">
            <w:pPr>
              <w:keepNext w:val="0"/>
              <w:keepLines w:val="0"/>
              <w:pageBreakBefore w:val="0"/>
              <w:widowControl w:val="0"/>
              <w:suppressLineNumbers w:val="0"/>
              <w:kinsoku/>
              <w:wordWrap/>
              <w:overflowPunct/>
              <w:topLinePunct w:val="0"/>
              <w:autoSpaceDE/>
              <w:autoSpaceDN/>
              <w:bidi w:val="0"/>
              <w:adjustRightInd w:val="0"/>
              <w:snapToGrid w:val="0"/>
              <w:spacing w:beforeAutospacing="0" w:afterAutospacing="0" w:line="400" w:lineRule="exact"/>
              <w:ind w:left="0" w:right="0" w:firstLine="562" w:firstLineChars="200"/>
              <w:jc w:val="both"/>
              <w:textAlignment w:val="auto"/>
              <w:rPr>
                <w:rFonts w:hint="eastAsia"/>
                <w:lang w:val="en-US" w:eastAsia="zh-CN"/>
              </w:rPr>
            </w:pPr>
            <w:r>
              <w:rPr>
                <w:rFonts w:hint="eastAsia" w:ascii="Times New Roman" w:hAnsi="Times New Roman" w:eastAsia="仿宋_GB2312" w:cs="Times New Roman"/>
                <w:b/>
                <w:bCs/>
                <w:color w:val="auto"/>
                <w:kern w:val="2"/>
                <w:sz w:val="28"/>
                <w:szCs w:val="28"/>
                <w:highlight w:val="none"/>
                <w:u w:val="none"/>
                <w:lang w:val="en-US" w:eastAsia="zh-CN" w:bidi="ar-SA"/>
              </w:rPr>
              <w:t>重点实施</w:t>
            </w:r>
            <w:r>
              <w:rPr>
                <w:rFonts w:hint="eastAsia" w:ascii="Times New Roman" w:hAnsi="Times New Roman" w:eastAsia="仿宋_GB2312" w:cs="Times New Roman"/>
                <w:b w:val="0"/>
                <w:bCs w:val="0"/>
                <w:color w:val="auto"/>
                <w:kern w:val="2"/>
                <w:sz w:val="28"/>
                <w:szCs w:val="28"/>
                <w:highlight w:val="none"/>
                <w:u w:val="none"/>
                <w:lang w:val="en-US" w:eastAsia="zh-CN" w:bidi="ar-SA"/>
              </w:rPr>
              <w:t>扶沟县桐丘路提升改造项目、扶沟县昌盛路、迎宾大道提升改造、扶沟县新建路提升改造项目、扶沟县创业大道提升改造项目、扶沟县扶亭北路提升改造项目（续建）、扶沟县站前路西延道路建设项目、扶沟县金海路建设项目、扶沟县兴隆路建设项目、扶沟县吉祥南路建设项目、扶沟县工业大道建设项目、扶沟县交通路西延项目、扶沟县凤凰台西街建设项目、扶沟县滨河路建设项目、扶沟县铁东路建设项目(续建)、扶沟县立雪路建设项目、扶沟县园区四路提升改造项目、扶沟县银河路提升改造项目。</w:t>
            </w:r>
          </w:p>
        </w:tc>
      </w:tr>
    </w:tbl>
    <w:p w14:paraId="777BA51B">
      <w:pPr>
        <w:keepNext/>
        <w:keepLines/>
        <w:pageBreakBefore w:val="0"/>
        <w:widowControl w:val="0"/>
        <w:numPr>
          <w:ilvl w:val="0"/>
          <w:numId w:val="0"/>
        </w:numPr>
        <w:kinsoku/>
        <w:wordWrap/>
        <w:overflowPunct/>
        <w:topLinePunct w:val="0"/>
        <w:autoSpaceDE/>
        <w:autoSpaceDN/>
        <w:bidi w:val="0"/>
        <w:adjustRightInd w:val="0"/>
        <w:snapToGrid w:val="0"/>
        <w:spacing w:before="541" w:beforeLines="150" w:after="156" w:afterLines="50" w:line="560" w:lineRule="exact"/>
        <w:ind w:leftChars="0"/>
        <w:jc w:val="center"/>
        <w:textAlignment w:val="auto"/>
        <w:outlineLvl w:val="2"/>
        <w:rPr>
          <w:rFonts w:hint="eastAsia" w:ascii="Times New Roman" w:hAnsi="Times New Roman" w:eastAsia="黑体" w:cs="Times New Roman"/>
          <w:b/>
          <w:bCs/>
          <w:color w:val="auto"/>
          <w:kern w:val="2"/>
          <w:sz w:val="32"/>
          <w:szCs w:val="32"/>
          <w:highlight w:val="none"/>
          <w:u w:val="none"/>
          <w:lang w:val="en-US" w:eastAsia="zh-CN" w:bidi="ar-SA"/>
        </w:rPr>
      </w:pPr>
      <w:bookmarkStart w:id="196" w:name="_Toc30600"/>
      <w:bookmarkStart w:id="197" w:name="_Toc4074"/>
      <w:bookmarkStart w:id="198" w:name="_Toc21912"/>
      <w:r>
        <w:rPr>
          <w:rFonts w:hint="eastAsia" w:ascii="Times New Roman" w:hAnsi="Times New Roman" w:eastAsia="黑体" w:cs="Times New Roman"/>
          <w:b/>
          <w:bCs/>
          <w:color w:val="auto"/>
          <w:kern w:val="2"/>
          <w:sz w:val="32"/>
          <w:szCs w:val="32"/>
          <w:highlight w:val="none"/>
          <w:u w:val="none"/>
          <w:lang w:val="en-US" w:eastAsia="zh-CN" w:bidi="ar-SA"/>
        </w:rPr>
        <w:t>第二节建设节水高效现代水网</w:t>
      </w:r>
      <w:bookmarkEnd w:id="196"/>
      <w:bookmarkEnd w:id="197"/>
      <w:bookmarkEnd w:id="198"/>
    </w:p>
    <w:p w14:paraId="4EFA994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Times New Roman" w:hAnsi="Times New Roman" w:eastAsia="仿宋_GB2312" w:cs="Times New Roman"/>
          <w:color w:val="auto"/>
          <w:kern w:val="2"/>
          <w:sz w:val="32"/>
          <w:szCs w:val="32"/>
          <w:highlight w:val="none"/>
          <w:u w:val="none"/>
          <w:lang w:val="en-US" w:eastAsia="zh-CN" w:bidi="ar"/>
        </w:rPr>
        <w:t>以“保障水安全、改善水环境、优化水资源”为核心，扶沟县水利发展将紧密围绕防洪减灾、供水保障、水生态环境和水利管理四大核心领域，全面提升水利基础设施水平与综合管理能力，为县域经济社会高质量发展筑牢水利根基，为农业强县、宜居扶沟建设提供水资源支撑。</w:t>
      </w:r>
    </w:p>
    <w:p w14:paraId="390864E0">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default" w:ascii="Times New Roman" w:hAnsi="Times New Roman" w:eastAsia="仿宋_GB2312" w:cs="Times New Roman"/>
          <w:color w:val="auto"/>
          <w:kern w:val="2"/>
          <w:sz w:val="32"/>
          <w:szCs w:val="32"/>
          <w:highlight w:val="none"/>
          <w:u w:val="none"/>
          <w:lang w:val="en-US" w:eastAsia="zh-CN" w:bidi="ar"/>
        </w:rPr>
      </w:pPr>
      <w:r>
        <w:rPr>
          <w:rFonts w:hint="eastAsia" w:ascii="楷体_GB2312" w:hAnsi="楷体_GB2312" w:eastAsia="楷体_GB2312" w:cs="楷体_GB2312"/>
          <w:b/>
          <w:bCs/>
          <w:color w:val="auto"/>
          <w:kern w:val="2"/>
          <w:sz w:val="32"/>
          <w:szCs w:val="32"/>
          <w:u w:val="none"/>
          <w:lang w:val="en-US" w:eastAsia="zh-CN" w:bidi="ar-SA"/>
        </w:rPr>
        <w:t>防洪减灾。</w:t>
      </w:r>
      <w:r>
        <w:rPr>
          <w:rFonts w:hint="eastAsia" w:ascii="Times New Roman" w:hAnsi="Times New Roman" w:eastAsia="仿宋_GB2312" w:cs="Times New Roman"/>
          <w:b/>
          <w:bCs/>
          <w:color w:val="auto"/>
          <w:kern w:val="2"/>
          <w:sz w:val="32"/>
          <w:szCs w:val="32"/>
          <w:highlight w:val="none"/>
          <w:u w:val="none"/>
          <w:lang w:val="en-US" w:eastAsia="zh-CN" w:bidi="ar"/>
        </w:rPr>
        <w:t>河道与水利设施强化</w:t>
      </w:r>
      <w:r>
        <w:rPr>
          <w:rFonts w:hint="eastAsia" w:ascii="Times New Roman" w:hAnsi="Times New Roman" w:eastAsia="仿宋_GB2312" w:cs="Times New Roman"/>
          <w:color w:val="auto"/>
          <w:kern w:val="2"/>
          <w:sz w:val="32"/>
          <w:szCs w:val="32"/>
          <w:highlight w:val="none"/>
          <w:u w:val="none"/>
          <w:lang w:val="en-US" w:eastAsia="zh-CN" w:bidi="ar"/>
        </w:rPr>
        <w:t>。</w:t>
      </w:r>
      <w:r>
        <w:rPr>
          <w:rFonts w:hint="default" w:ascii="Times New Roman" w:hAnsi="Times New Roman" w:eastAsia="仿宋_GB2312" w:cs="Times New Roman"/>
          <w:color w:val="auto"/>
          <w:kern w:val="2"/>
          <w:sz w:val="32"/>
          <w:szCs w:val="32"/>
          <w:highlight w:val="none"/>
          <w:u w:val="none"/>
          <w:lang w:val="en-US" w:eastAsia="zh-CN" w:bidi="ar"/>
        </w:rPr>
        <w:t>对</w:t>
      </w:r>
      <w:r>
        <w:rPr>
          <w:rFonts w:hint="eastAsia" w:ascii="Times New Roman" w:hAnsi="Times New Roman" w:eastAsia="仿宋_GB2312" w:cs="Times New Roman"/>
          <w:color w:val="auto"/>
          <w:kern w:val="2"/>
          <w:sz w:val="32"/>
          <w:szCs w:val="32"/>
          <w:highlight w:val="none"/>
          <w:u w:val="none"/>
          <w:lang w:val="en-US" w:eastAsia="zh-CN" w:bidi="ar"/>
        </w:rPr>
        <w:t>县域内清淤疏浚及护岸工程，54条河渠水系合计长度311.67公里。河道（乡镇段）生态护岸工程，总长12.13公里。</w:t>
      </w:r>
      <w:r>
        <w:rPr>
          <w:rFonts w:hint="default" w:ascii="Times New Roman" w:hAnsi="Times New Roman" w:eastAsia="仿宋_GB2312" w:cs="Times New Roman"/>
          <w:color w:val="auto"/>
          <w:kern w:val="2"/>
          <w:sz w:val="32"/>
          <w:szCs w:val="32"/>
          <w:highlight w:val="none"/>
          <w:u w:val="none"/>
          <w:lang w:val="en-US" w:eastAsia="zh-CN" w:bidi="ar"/>
        </w:rPr>
        <w:t>确保河道行洪通畅；全面排查整治全县</w:t>
      </w:r>
      <w:r>
        <w:rPr>
          <w:rFonts w:hint="eastAsia" w:ascii="Times New Roman" w:hAnsi="Times New Roman" w:eastAsia="仿宋_GB2312" w:cs="Times New Roman"/>
          <w:color w:val="auto"/>
          <w:kern w:val="2"/>
          <w:sz w:val="32"/>
          <w:szCs w:val="32"/>
          <w:highlight w:val="none"/>
          <w:u w:val="none"/>
          <w:lang w:val="en-US" w:eastAsia="zh-CN" w:bidi="ar"/>
        </w:rPr>
        <w:t>198</w:t>
      </w:r>
      <w:r>
        <w:rPr>
          <w:rFonts w:hint="default" w:ascii="Times New Roman" w:hAnsi="Times New Roman" w:eastAsia="仿宋_GB2312" w:cs="Times New Roman"/>
          <w:color w:val="auto"/>
          <w:kern w:val="2"/>
          <w:sz w:val="32"/>
          <w:szCs w:val="32"/>
          <w:highlight w:val="none"/>
          <w:u w:val="none"/>
          <w:lang w:val="en-US" w:eastAsia="zh-CN" w:bidi="ar"/>
        </w:rPr>
        <w:t>座水闸，通过除险加固，使其达到设计防洪标准，保障水利设施安全运行。</w:t>
      </w:r>
      <w:r>
        <w:rPr>
          <w:rFonts w:hint="eastAsia" w:ascii="Times New Roman" w:hAnsi="Times New Roman" w:eastAsia="仿宋_GB2312" w:cs="Times New Roman"/>
          <w:b/>
          <w:bCs/>
          <w:color w:val="auto"/>
          <w:kern w:val="2"/>
          <w:sz w:val="32"/>
          <w:szCs w:val="32"/>
          <w:highlight w:val="none"/>
          <w:u w:val="none"/>
          <w:lang w:val="en-US" w:eastAsia="zh-CN" w:bidi="ar"/>
        </w:rPr>
        <w:t>提升防洪标准。</w:t>
      </w:r>
      <w:r>
        <w:rPr>
          <w:rFonts w:hint="default" w:ascii="Times New Roman" w:hAnsi="Times New Roman" w:eastAsia="仿宋_GB2312" w:cs="Times New Roman"/>
          <w:color w:val="auto"/>
          <w:kern w:val="2"/>
          <w:sz w:val="32"/>
          <w:szCs w:val="32"/>
          <w:highlight w:val="none"/>
          <w:u w:val="none"/>
          <w:lang w:val="en-US" w:eastAsia="zh-CN" w:bidi="ar"/>
        </w:rPr>
        <w:t>使贾鲁河主要河段防洪标准提升至50-100年一遇，双洎河、尉扶河等河道防洪标准达到20-50年一遇；城区防洪标准达到50年一遇以上，构建完善的城市防洪圈，有效抵御洪水侵袭，保障城乡居民生命财产安全。</w:t>
      </w:r>
      <w:r>
        <w:rPr>
          <w:rFonts w:hint="eastAsia" w:ascii="Times New Roman" w:hAnsi="Times New Roman" w:eastAsia="仿宋_GB2312" w:cs="Times New Roman"/>
          <w:b/>
          <w:bCs/>
          <w:color w:val="auto"/>
          <w:kern w:val="2"/>
          <w:sz w:val="32"/>
          <w:szCs w:val="32"/>
          <w:highlight w:val="none"/>
          <w:u w:val="none"/>
          <w:lang w:val="en-US" w:eastAsia="zh-CN" w:bidi="ar"/>
        </w:rPr>
        <w:t>完善防洪预警体系。</w:t>
      </w:r>
      <w:r>
        <w:rPr>
          <w:rFonts w:hint="default" w:ascii="Times New Roman" w:hAnsi="Times New Roman" w:eastAsia="仿宋_GB2312" w:cs="Times New Roman"/>
          <w:color w:val="auto"/>
          <w:kern w:val="2"/>
          <w:sz w:val="32"/>
          <w:szCs w:val="32"/>
          <w:highlight w:val="none"/>
          <w:u w:val="none"/>
          <w:lang w:val="en-US" w:eastAsia="zh-CN" w:bidi="ar"/>
        </w:rPr>
        <w:t>建立覆盖全县的智能化洪水预警系统，通过在河道、水库等关键位置安装先进的水位、流量、雨量监测设备，实现对水情的实时精准监测；确保预警信息发布及时、准确，预警覆盖全县所有乡镇、村庄，预警信息传递时间缩短至</w:t>
      </w:r>
      <w:r>
        <w:rPr>
          <w:rFonts w:hint="eastAsia" w:ascii="Times New Roman" w:hAnsi="Times New Roman" w:eastAsia="仿宋_GB2312" w:cs="Times New Roman"/>
          <w:color w:val="auto"/>
          <w:kern w:val="2"/>
          <w:sz w:val="32"/>
          <w:szCs w:val="32"/>
          <w:highlight w:val="none"/>
          <w:u w:val="none"/>
          <w:lang w:val="en-US" w:eastAsia="zh-CN" w:bidi="ar"/>
        </w:rPr>
        <w:t>10</w:t>
      </w:r>
      <w:r>
        <w:rPr>
          <w:rFonts w:hint="default" w:ascii="Times New Roman" w:hAnsi="Times New Roman" w:eastAsia="仿宋_GB2312" w:cs="Times New Roman"/>
          <w:color w:val="auto"/>
          <w:kern w:val="2"/>
          <w:sz w:val="32"/>
          <w:szCs w:val="32"/>
          <w:highlight w:val="none"/>
          <w:u w:val="none"/>
          <w:lang w:val="en-US" w:eastAsia="zh-CN" w:bidi="ar"/>
        </w:rPr>
        <w:t>分钟以内，为防洪减灾争取宝贵时间。</w:t>
      </w:r>
    </w:p>
    <w:p w14:paraId="65243641">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default" w:ascii="Times New Roman" w:hAnsi="Times New Roman" w:eastAsia="仿宋_GB2312" w:cs="Times New Roman"/>
          <w:color w:val="auto"/>
          <w:kern w:val="2"/>
          <w:sz w:val="32"/>
          <w:szCs w:val="32"/>
          <w:highlight w:val="none"/>
          <w:u w:val="none"/>
          <w:lang w:val="en-US" w:eastAsia="zh-CN" w:bidi="ar"/>
        </w:rPr>
      </w:pPr>
      <w:r>
        <w:rPr>
          <w:rFonts w:hint="eastAsia" w:ascii="楷体_GB2312" w:hAnsi="楷体_GB2312" w:eastAsia="楷体_GB2312" w:cs="楷体_GB2312"/>
          <w:b/>
          <w:bCs/>
          <w:color w:val="auto"/>
          <w:kern w:val="2"/>
          <w:sz w:val="32"/>
          <w:szCs w:val="32"/>
          <w:u w:val="none"/>
          <w:lang w:val="en-US" w:eastAsia="zh-CN" w:bidi="ar-SA"/>
        </w:rPr>
        <w:t>供水保障。</w:t>
      </w:r>
      <w:r>
        <w:rPr>
          <w:rFonts w:hint="eastAsia" w:ascii="Times New Roman" w:hAnsi="Times New Roman" w:eastAsia="仿宋_GB2312" w:cs="Times New Roman"/>
          <w:b/>
          <w:bCs/>
          <w:color w:val="auto"/>
          <w:kern w:val="2"/>
          <w:sz w:val="32"/>
          <w:szCs w:val="32"/>
          <w:highlight w:val="none"/>
          <w:u w:val="none"/>
          <w:lang w:val="en-US" w:eastAsia="zh-CN" w:bidi="ar"/>
        </w:rPr>
        <w:t>水资源优化配置。</w:t>
      </w:r>
      <w:r>
        <w:rPr>
          <w:rFonts w:hint="default" w:ascii="Times New Roman" w:hAnsi="Times New Roman" w:eastAsia="仿宋_GB2312" w:cs="Times New Roman"/>
          <w:color w:val="auto"/>
          <w:kern w:val="2"/>
          <w:sz w:val="32"/>
          <w:szCs w:val="32"/>
          <w:highlight w:val="none"/>
          <w:u w:val="none"/>
          <w:lang w:val="en-US" w:eastAsia="zh-CN" w:bidi="ar"/>
        </w:rPr>
        <w:t>推进赵口灌区续建配套与现代化改造工程，完善干支渠系，新增有效灌溉面积</w:t>
      </w:r>
      <w:r>
        <w:rPr>
          <w:rFonts w:hint="eastAsia" w:ascii="Times New Roman" w:hAnsi="Times New Roman" w:eastAsia="仿宋_GB2312" w:cs="Times New Roman"/>
          <w:color w:val="auto"/>
          <w:kern w:val="2"/>
          <w:sz w:val="32"/>
          <w:szCs w:val="32"/>
          <w:highlight w:val="none"/>
          <w:u w:val="none"/>
          <w:lang w:val="en-US" w:eastAsia="zh-CN" w:bidi="ar"/>
        </w:rPr>
        <w:t>107</w:t>
      </w:r>
      <w:r>
        <w:rPr>
          <w:rFonts w:hint="default" w:ascii="Times New Roman" w:hAnsi="Times New Roman" w:eastAsia="仿宋_GB2312" w:cs="Times New Roman"/>
          <w:color w:val="auto"/>
          <w:kern w:val="2"/>
          <w:sz w:val="32"/>
          <w:szCs w:val="32"/>
          <w:highlight w:val="none"/>
          <w:u w:val="none"/>
          <w:lang w:val="en-US" w:eastAsia="zh-CN" w:bidi="ar"/>
        </w:rPr>
        <w:t>万亩；实施南水北调扶沟城乡一体化供水工程，建设配套管网</w:t>
      </w:r>
      <w:r>
        <w:rPr>
          <w:rFonts w:hint="eastAsia" w:ascii="Times New Roman" w:hAnsi="Times New Roman" w:eastAsia="仿宋_GB2312" w:cs="Times New Roman"/>
          <w:color w:val="auto"/>
          <w:kern w:val="2"/>
          <w:sz w:val="32"/>
          <w:szCs w:val="32"/>
          <w:highlight w:val="none"/>
          <w:u w:val="none"/>
          <w:lang w:val="en-US" w:eastAsia="zh-CN" w:bidi="ar"/>
        </w:rPr>
        <w:t>140</w:t>
      </w:r>
      <w:r>
        <w:rPr>
          <w:rFonts w:hint="default" w:ascii="Times New Roman" w:hAnsi="Times New Roman" w:eastAsia="仿宋_GB2312" w:cs="Times New Roman"/>
          <w:color w:val="auto"/>
          <w:kern w:val="2"/>
          <w:sz w:val="32"/>
          <w:szCs w:val="32"/>
          <w:highlight w:val="none"/>
          <w:u w:val="none"/>
          <w:lang w:val="en-US" w:eastAsia="zh-CN" w:bidi="ar"/>
        </w:rPr>
        <w:t>公里，使南水北调水在全县供水水源中的占比提高到</w:t>
      </w:r>
      <w:r>
        <w:rPr>
          <w:rFonts w:hint="eastAsia" w:ascii="Times New Roman" w:hAnsi="Times New Roman" w:eastAsia="仿宋_GB2312" w:cs="Times New Roman"/>
          <w:color w:val="auto"/>
          <w:kern w:val="2"/>
          <w:sz w:val="32"/>
          <w:szCs w:val="32"/>
          <w:highlight w:val="none"/>
          <w:u w:val="none"/>
          <w:lang w:val="en-US" w:eastAsia="zh-CN" w:bidi="ar"/>
        </w:rPr>
        <w:t>95</w:t>
      </w:r>
      <w:r>
        <w:rPr>
          <w:rFonts w:hint="default" w:ascii="Times New Roman" w:hAnsi="Times New Roman" w:eastAsia="仿宋_GB2312" w:cs="Times New Roman"/>
          <w:color w:val="auto"/>
          <w:kern w:val="2"/>
          <w:sz w:val="32"/>
          <w:szCs w:val="32"/>
          <w:highlight w:val="none"/>
          <w:u w:val="none"/>
          <w:lang w:val="en-US" w:eastAsia="zh-CN" w:bidi="ar"/>
        </w:rPr>
        <w:t>%以上，优化全县水资源配置格局。</w:t>
      </w:r>
      <w:r>
        <w:rPr>
          <w:rFonts w:hint="default" w:ascii="Times New Roman" w:hAnsi="Times New Roman" w:eastAsia="仿宋_GB2312" w:cs="Times New Roman"/>
          <w:b/>
          <w:bCs/>
          <w:color w:val="auto"/>
          <w:kern w:val="2"/>
          <w:sz w:val="32"/>
          <w:szCs w:val="32"/>
          <w:highlight w:val="none"/>
          <w:u w:val="none"/>
          <w:lang w:val="en-US" w:eastAsia="zh-CN" w:bidi="ar"/>
        </w:rPr>
        <w:t>农村供水提质</w:t>
      </w:r>
      <w:r>
        <w:rPr>
          <w:rFonts w:hint="eastAsia" w:ascii="Times New Roman" w:hAnsi="Times New Roman" w:eastAsia="仿宋_GB2312" w:cs="Times New Roman"/>
          <w:b/>
          <w:bCs/>
          <w:color w:val="auto"/>
          <w:kern w:val="2"/>
          <w:sz w:val="32"/>
          <w:szCs w:val="32"/>
          <w:highlight w:val="none"/>
          <w:u w:val="none"/>
          <w:lang w:val="en-US" w:eastAsia="zh-CN" w:bidi="ar"/>
        </w:rPr>
        <w:t>。</w:t>
      </w:r>
      <w:r>
        <w:rPr>
          <w:rFonts w:hint="default" w:ascii="Times New Roman" w:hAnsi="Times New Roman" w:eastAsia="仿宋_GB2312" w:cs="Times New Roman"/>
          <w:color w:val="auto"/>
          <w:kern w:val="2"/>
          <w:sz w:val="32"/>
          <w:szCs w:val="32"/>
          <w:highlight w:val="none"/>
          <w:u w:val="none"/>
          <w:lang w:val="en-US" w:eastAsia="zh-CN" w:bidi="ar"/>
        </w:rPr>
        <w:t>对农村老旧供水设施进行全面升级改造，新建和改造农村供水管道</w:t>
      </w:r>
      <w:r>
        <w:rPr>
          <w:rFonts w:hint="eastAsia" w:ascii="Times New Roman" w:hAnsi="Times New Roman" w:eastAsia="仿宋_GB2312" w:cs="Times New Roman"/>
          <w:color w:val="auto"/>
          <w:kern w:val="2"/>
          <w:sz w:val="32"/>
          <w:szCs w:val="32"/>
          <w:highlight w:val="none"/>
          <w:u w:val="none"/>
          <w:lang w:val="en-US" w:eastAsia="zh-CN" w:bidi="ar"/>
        </w:rPr>
        <w:t>200</w:t>
      </w:r>
      <w:r>
        <w:rPr>
          <w:rFonts w:hint="default" w:ascii="Times New Roman" w:hAnsi="Times New Roman" w:eastAsia="仿宋_GB2312" w:cs="Times New Roman"/>
          <w:color w:val="auto"/>
          <w:kern w:val="2"/>
          <w:sz w:val="32"/>
          <w:szCs w:val="32"/>
          <w:highlight w:val="none"/>
          <w:u w:val="none"/>
          <w:lang w:val="en-US" w:eastAsia="zh-CN" w:bidi="ar"/>
        </w:rPr>
        <w:t>公里，更新供水设备</w:t>
      </w:r>
      <w:r>
        <w:rPr>
          <w:rFonts w:hint="eastAsia" w:ascii="Times New Roman" w:hAnsi="Times New Roman" w:eastAsia="仿宋_GB2312" w:cs="Times New Roman"/>
          <w:color w:val="auto"/>
          <w:kern w:val="2"/>
          <w:sz w:val="32"/>
          <w:szCs w:val="32"/>
          <w:highlight w:val="none"/>
          <w:u w:val="none"/>
          <w:lang w:val="en-US" w:eastAsia="zh-CN" w:bidi="ar"/>
        </w:rPr>
        <w:t>17</w:t>
      </w:r>
      <w:r>
        <w:rPr>
          <w:rFonts w:hint="default" w:ascii="Times New Roman" w:hAnsi="Times New Roman" w:eastAsia="仿宋_GB2312" w:cs="Times New Roman"/>
          <w:color w:val="auto"/>
          <w:kern w:val="2"/>
          <w:sz w:val="32"/>
          <w:szCs w:val="32"/>
          <w:highlight w:val="none"/>
          <w:u w:val="none"/>
          <w:lang w:val="en-US" w:eastAsia="zh-CN" w:bidi="ar"/>
        </w:rPr>
        <w:t>套；农村自来水普及率稳定在9</w:t>
      </w:r>
      <w:r>
        <w:rPr>
          <w:rFonts w:hint="eastAsia" w:ascii="Times New Roman" w:hAnsi="Times New Roman" w:eastAsia="仿宋_GB2312" w:cs="Times New Roman"/>
          <w:color w:val="auto"/>
          <w:kern w:val="2"/>
          <w:sz w:val="32"/>
          <w:szCs w:val="32"/>
          <w:highlight w:val="none"/>
          <w:u w:val="none"/>
          <w:lang w:val="en-US" w:eastAsia="zh-CN" w:bidi="ar"/>
        </w:rPr>
        <w:t>9</w:t>
      </w:r>
      <w:r>
        <w:rPr>
          <w:rFonts w:hint="default" w:ascii="Times New Roman" w:hAnsi="Times New Roman" w:eastAsia="仿宋_GB2312" w:cs="Times New Roman"/>
          <w:color w:val="auto"/>
          <w:kern w:val="2"/>
          <w:sz w:val="32"/>
          <w:szCs w:val="32"/>
          <w:highlight w:val="none"/>
          <w:u w:val="none"/>
          <w:lang w:val="en-US" w:eastAsia="zh-CN" w:bidi="ar"/>
        </w:rPr>
        <w:t>%以上，规模化供水工程覆盖农村人口比例达到</w:t>
      </w:r>
      <w:r>
        <w:rPr>
          <w:rFonts w:hint="eastAsia" w:ascii="Times New Roman" w:hAnsi="Times New Roman" w:eastAsia="仿宋_GB2312" w:cs="Times New Roman"/>
          <w:color w:val="auto"/>
          <w:kern w:val="2"/>
          <w:sz w:val="32"/>
          <w:szCs w:val="32"/>
          <w:highlight w:val="none"/>
          <w:u w:val="none"/>
          <w:lang w:val="en-US" w:eastAsia="zh-CN" w:bidi="ar"/>
        </w:rPr>
        <w:t>100</w:t>
      </w:r>
      <w:r>
        <w:rPr>
          <w:rFonts w:hint="default" w:ascii="Times New Roman" w:hAnsi="Times New Roman" w:eastAsia="仿宋_GB2312" w:cs="Times New Roman"/>
          <w:color w:val="auto"/>
          <w:kern w:val="2"/>
          <w:sz w:val="32"/>
          <w:szCs w:val="32"/>
          <w:highlight w:val="none"/>
          <w:u w:val="none"/>
          <w:lang w:val="en-US" w:eastAsia="zh-CN" w:bidi="ar"/>
        </w:rPr>
        <w:t>%，保障农村居民用水的水量充足、水质优良。</w:t>
      </w:r>
    </w:p>
    <w:p w14:paraId="3D181B2D">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default" w:ascii="Times New Roman" w:hAnsi="Times New Roman" w:eastAsia="仿宋_GB2312" w:cs="Times New Roman"/>
          <w:color w:val="auto"/>
          <w:kern w:val="2"/>
          <w:sz w:val="32"/>
          <w:szCs w:val="32"/>
          <w:highlight w:val="none"/>
          <w:u w:val="none"/>
          <w:lang w:val="en-US" w:eastAsia="zh-CN" w:bidi="ar"/>
        </w:rPr>
      </w:pPr>
      <w:r>
        <w:rPr>
          <w:rFonts w:hint="default" w:ascii="楷体_GB2312" w:hAnsi="楷体_GB2312" w:eastAsia="楷体_GB2312" w:cs="楷体_GB2312"/>
          <w:b/>
          <w:bCs/>
          <w:color w:val="auto"/>
          <w:kern w:val="2"/>
          <w:sz w:val="32"/>
          <w:szCs w:val="32"/>
          <w:u w:val="none"/>
          <w:lang w:val="en-US" w:eastAsia="zh-CN" w:bidi="ar-SA"/>
        </w:rPr>
        <w:t>水生态环境</w:t>
      </w:r>
      <w:r>
        <w:rPr>
          <w:rFonts w:hint="eastAsia" w:ascii="楷体_GB2312" w:hAnsi="楷体_GB2312" w:eastAsia="楷体_GB2312" w:cs="楷体_GB2312"/>
          <w:b/>
          <w:bCs/>
          <w:color w:val="auto"/>
          <w:kern w:val="2"/>
          <w:sz w:val="32"/>
          <w:szCs w:val="32"/>
          <w:u w:val="none"/>
          <w:lang w:val="en-US" w:eastAsia="zh-CN" w:bidi="ar-SA"/>
        </w:rPr>
        <w:t>。</w:t>
      </w:r>
      <w:r>
        <w:rPr>
          <w:rFonts w:hint="default" w:ascii="Times New Roman" w:hAnsi="Times New Roman" w:eastAsia="仿宋_GB2312" w:cs="Times New Roman"/>
          <w:b/>
          <w:bCs/>
          <w:color w:val="auto"/>
          <w:kern w:val="2"/>
          <w:sz w:val="32"/>
          <w:szCs w:val="32"/>
          <w:highlight w:val="none"/>
          <w:u w:val="none"/>
          <w:lang w:val="en-US" w:eastAsia="zh-CN" w:bidi="ar"/>
        </w:rPr>
        <w:t>水生态系统修复</w:t>
      </w:r>
      <w:r>
        <w:rPr>
          <w:rFonts w:hint="eastAsia" w:ascii="Times New Roman" w:hAnsi="Times New Roman" w:eastAsia="仿宋_GB2312" w:cs="Times New Roman"/>
          <w:b/>
          <w:bCs/>
          <w:color w:val="auto"/>
          <w:kern w:val="2"/>
          <w:sz w:val="32"/>
          <w:szCs w:val="32"/>
          <w:highlight w:val="none"/>
          <w:u w:val="none"/>
          <w:lang w:val="en-US" w:eastAsia="zh-CN" w:bidi="ar"/>
        </w:rPr>
        <w:t>。</w:t>
      </w:r>
      <w:r>
        <w:rPr>
          <w:rFonts w:hint="default" w:ascii="Times New Roman" w:hAnsi="Times New Roman" w:eastAsia="仿宋_GB2312" w:cs="Times New Roman"/>
          <w:color w:val="auto"/>
          <w:kern w:val="2"/>
          <w:sz w:val="32"/>
          <w:szCs w:val="32"/>
          <w:highlight w:val="none"/>
          <w:u w:val="none"/>
          <w:lang w:val="en-US" w:eastAsia="zh-CN" w:bidi="ar"/>
        </w:rPr>
        <w:t>开展全域水系连通生态治理，重点对清水河、大狼沟等沟渠进行生态修复，通过种植水生植物、建设生态护岸，恢复水体自净能力，增强生物多样性，打造生态景观河道。</w:t>
      </w:r>
      <w:r>
        <w:rPr>
          <w:rFonts w:hint="default" w:ascii="Times New Roman" w:hAnsi="Times New Roman" w:eastAsia="仿宋_GB2312" w:cs="Times New Roman"/>
          <w:b/>
          <w:bCs/>
          <w:color w:val="auto"/>
          <w:kern w:val="2"/>
          <w:sz w:val="32"/>
          <w:szCs w:val="32"/>
          <w:highlight w:val="none"/>
          <w:u w:val="none"/>
          <w:lang w:val="en-US" w:eastAsia="zh-CN" w:bidi="ar"/>
        </w:rPr>
        <w:t>饮用水水源地保护</w:t>
      </w:r>
      <w:r>
        <w:rPr>
          <w:rFonts w:hint="eastAsia" w:ascii="Times New Roman" w:hAnsi="Times New Roman" w:eastAsia="仿宋_GB2312" w:cs="Times New Roman"/>
          <w:b/>
          <w:bCs/>
          <w:color w:val="auto"/>
          <w:kern w:val="2"/>
          <w:sz w:val="32"/>
          <w:szCs w:val="32"/>
          <w:highlight w:val="none"/>
          <w:u w:val="none"/>
          <w:lang w:val="en-US" w:eastAsia="zh-CN" w:bidi="ar"/>
        </w:rPr>
        <w:t>。</w:t>
      </w:r>
      <w:r>
        <w:rPr>
          <w:rFonts w:hint="default" w:ascii="Times New Roman" w:hAnsi="Times New Roman" w:eastAsia="仿宋_GB2312" w:cs="Times New Roman"/>
          <w:color w:val="auto"/>
          <w:kern w:val="2"/>
          <w:sz w:val="32"/>
          <w:szCs w:val="32"/>
          <w:highlight w:val="none"/>
          <w:u w:val="none"/>
          <w:lang w:val="en-US" w:eastAsia="zh-CN" w:bidi="ar"/>
        </w:rPr>
        <w:t>加强</w:t>
      </w:r>
      <w:r>
        <w:rPr>
          <w:rFonts w:hint="eastAsia" w:ascii="Times New Roman" w:hAnsi="Times New Roman" w:eastAsia="仿宋_GB2312" w:cs="Times New Roman"/>
          <w:color w:val="auto"/>
          <w:kern w:val="2"/>
          <w:sz w:val="32"/>
          <w:szCs w:val="32"/>
          <w:highlight w:val="none"/>
          <w:u w:val="none"/>
          <w:lang w:val="en-US" w:eastAsia="zh-CN" w:bidi="ar"/>
        </w:rPr>
        <w:t>南水北调水厂</w:t>
      </w:r>
      <w:r>
        <w:rPr>
          <w:rFonts w:hint="default" w:ascii="Times New Roman" w:hAnsi="Times New Roman" w:eastAsia="仿宋_GB2312" w:cs="Times New Roman"/>
          <w:color w:val="auto"/>
          <w:kern w:val="2"/>
          <w:sz w:val="32"/>
          <w:szCs w:val="32"/>
          <w:highlight w:val="none"/>
          <w:u w:val="none"/>
          <w:lang w:val="en-US" w:eastAsia="zh-CN" w:bidi="ar"/>
        </w:rPr>
        <w:t>等饮用水水源地保护，划定保护区边界，设立隔离防护设施和警示标识；建立水源地水质自动监测站</w:t>
      </w:r>
      <w:r>
        <w:rPr>
          <w:rFonts w:hint="eastAsia" w:ascii="Times New Roman" w:hAnsi="Times New Roman" w:eastAsia="仿宋_GB2312" w:cs="Times New Roman"/>
          <w:color w:val="auto"/>
          <w:kern w:val="2"/>
          <w:sz w:val="32"/>
          <w:szCs w:val="32"/>
          <w:highlight w:val="none"/>
          <w:u w:val="none"/>
          <w:lang w:val="en-US" w:eastAsia="zh-CN" w:bidi="ar"/>
        </w:rPr>
        <w:t>17</w:t>
      </w:r>
      <w:r>
        <w:rPr>
          <w:rFonts w:hint="default" w:ascii="Times New Roman" w:hAnsi="Times New Roman" w:eastAsia="仿宋_GB2312" w:cs="Times New Roman"/>
          <w:color w:val="auto"/>
          <w:kern w:val="2"/>
          <w:sz w:val="32"/>
          <w:szCs w:val="32"/>
          <w:highlight w:val="none"/>
          <w:u w:val="none"/>
          <w:lang w:val="en-US" w:eastAsia="zh-CN" w:bidi="ar"/>
        </w:rPr>
        <w:t>个，实现水质实时监测，确保饮用水水源地水质达标率稳定在100%，保障城乡居民饮水安全。</w:t>
      </w:r>
    </w:p>
    <w:p w14:paraId="3BF79209">
      <w:pPr>
        <w:keepNext w:val="0"/>
        <w:keepLines w:val="0"/>
        <w:pageBreakBefore w:val="0"/>
        <w:widowControl w:val="0"/>
        <w:kinsoku/>
        <w:wordWrap/>
        <w:overflowPunct/>
        <w:topLinePunct w:val="0"/>
        <w:autoSpaceDE/>
        <w:autoSpaceDN/>
        <w:bidi w:val="0"/>
        <w:adjustRightInd w:val="0"/>
        <w:snapToGrid w:val="0"/>
        <w:spacing w:after="721" w:afterLines="200" w:line="560" w:lineRule="exact"/>
        <w:ind w:firstLine="643"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default" w:ascii="楷体_GB2312" w:hAnsi="楷体_GB2312" w:eastAsia="楷体_GB2312" w:cs="楷体_GB2312"/>
          <w:b/>
          <w:bCs/>
          <w:color w:val="auto"/>
          <w:kern w:val="2"/>
          <w:sz w:val="32"/>
          <w:szCs w:val="32"/>
          <w:u w:val="none"/>
          <w:lang w:val="en-US" w:eastAsia="zh-CN" w:bidi="ar-SA"/>
        </w:rPr>
        <w:t>水利管理</w:t>
      </w:r>
      <w:r>
        <w:rPr>
          <w:rFonts w:hint="eastAsia" w:ascii="楷体_GB2312" w:hAnsi="楷体_GB2312" w:eastAsia="楷体_GB2312" w:cs="楷体_GB2312"/>
          <w:b/>
          <w:bCs/>
          <w:color w:val="auto"/>
          <w:kern w:val="2"/>
          <w:sz w:val="32"/>
          <w:szCs w:val="32"/>
          <w:u w:val="none"/>
          <w:lang w:val="en-US" w:eastAsia="zh-CN" w:bidi="ar-SA"/>
        </w:rPr>
        <w:t>。</w:t>
      </w:r>
      <w:r>
        <w:rPr>
          <w:rFonts w:hint="default" w:ascii="Times New Roman" w:hAnsi="Times New Roman" w:eastAsia="仿宋_GB2312" w:cs="Times New Roman"/>
          <w:b/>
          <w:bCs/>
          <w:color w:val="auto"/>
          <w:kern w:val="2"/>
          <w:sz w:val="32"/>
          <w:szCs w:val="32"/>
          <w:highlight w:val="none"/>
          <w:u w:val="none"/>
          <w:lang w:val="en-US" w:eastAsia="zh-CN" w:bidi="ar"/>
        </w:rPr>
        <w:t>智慧水利建设</w:t>
      </w:r>
      <w:r>
        <w:rPr>
          <w:rFonts w:hint="eastAsia" w:ascii="Times New Roman" w:hAnsi="Times New Roman" w:eastAsia="仿宋_GB2312" w:cs="Times New Roman"/>
          <w:b/>
          <w:bCs/>
          <w:color w:val="auto"/>
          <w:kern w:val="2"/>
          <w:sz w:val="32"/>
          <w:szCs w:val="32"/>
          <w:highlight w:val="none"/>
          <w:u w:val="none"/>
          <w:lang w:val="en-US" w:eastAsia="zh-CN" w:bidi="ar"/>
        </w:rPr>
        <w:t>。</w:t>
      </w:r>
      <w:r>
        <w:rPr>
          <w:rFonts w:hint="default" w:ascii="Times New Roman" w:hAnsi="Times New Roman" w:eastAsia="仿宋_GB2312" w:cs="Times New Roman"/>
          <w:color w:val="auto"/>
          <w:kern w:val="2"/>
          <w:sz w:val="32"/>
          <w:szCs w:val="32"/>
          <w:highlight w:val="none"/>
          <w:u w:val="none"/>
          <w:lang w:val="en-US" w:eastAsia="zh-CN" w:bidi="ar"/>
        </w:rPr>
        <w:t>搭建全县统一的智慧水利综合管理平台，整合水资源管理、防洪调度、灌溉管理、水质监测等信息系统，实现水利数据的实时采集、传输、分析与处理，为水利决策提供科学依据；在主要水利工程设施安装智能化监测与自动化控制设备，实现远程监控和智能化调度，提高水利工程运行管理效率和安全性。</w:t>
      </w:r>
      <w:r>
        <w:rPr>
          <w:rFonts w:hint="default" w:ascii="Times New Roman" w:hAnsi="Times New Roman" w:eastAsia="仿宋_GB2312" w:cs="Times New Roman"/>
          <w:b/>
          <w:bCs/>
          <w:color w:val="auto"/>
          <w:kern w:val="2"/>
          <w:sz w:val="32"/>
          <w:szCs w:val="32"/>
          <w:highlight w:val="none"/>
          <w:u w:val="none"/>
          <w:lang w:val="en-US" w:eastAsia="zh-CN" w:bidi="ar"/>
        </w:rPr>
        <w:t>水利管理体制改革</w:t>
      </w:r>
      <w:r>
        <w:rPr>
          <w:rFonts w:hint="eastAsia" w:ascii="Times New Roman" w:hAnsi="Times New Roman" w:eastAsia="仿宋_GB2312" w:cs="Times New Roman"/>
          <w:b/>
          <w:bCs/>
          <w:color w:val="auto"/>
          <w:kern w:val="2"/>
          <w:sz w:val="32"/>
          <w:szCs w:val="32"/>
          <w:highlight w:val="none"/>
          <w:u w:val="none"/>
          <w:lang w:val="en-US" w:eastAsia="zh-CN" w:bidi="ar"/>
        </w:rPr>
        <w:t>。</w:t>
      </w:r>
      <w:r>
        <w:rPr>
          <w:rFonts w:hint="default" w:ascii="Times New Roman" w:hAnsi="Times New Roman" w:eastAsia="仿宋_GB2312" w:cs="Times New Roman"/>
          <w:color w:val="auto"/>
          <w:kern w:val="2"/>
          <w:sz w:val="32"/>
          <w:szCs w:val="32"/>
          <w:highlight w:val="none"/>
          <w:u w:val="none"/>
          <w:lang w:val="en-US" w:eastAsia="zh-CN" w:bidi="ar"/>
        </w:rPr>
        <w:t>完善水行政管理体制，明确各部门职责分工，加强协同合作；深化水利工程管理体制改革，落实水利工程管护主体、责任和经费，建立长效管护机制；健全水行政执法体系，加强执法队伍建设，加大水事违法行为打击力度，维护良好水事秩序。</w:t>
      </w:r>
      <w:r>
        <w:rPr>
          <w:rFonts w:hint="default" w:ascii="Times New Roman" w:hAnsi="Times New Roman" w:eastAsia="仿宋_GB2312" w:cs="Times New Roman"/>
          <w:b/>
          <w:bCs/>
          <w:color w:val="auto"/>
          <w:kern w:val="2"/>
          <w:sz w:val="32"/>
          <w:szCs w:val="32"/>
          <w:highlight w:val="none"/>
          <w:u w:val="none"/>
          <w:lang w:val="en-US" w:eastAsia="zh-CN" w:bidi="ar"/>
        </w:rPr>
        <w:t>人才队伍建设</w:t>
      </w:r>
      <w:r>
        <w:rPr>
          <w:rFonts w:hint="eastAsia" w:ascii="Times New Roman" w:hAnsi="Times New Roman" w:eastAsia="仿宋_GB2312" w:cs="Times New Roman"/>
          <w:b/>
          <w:bCs/>
          <w:color w:val="auto"/>
          <w:kern w:val="2"/>
          <w:sz w:val="32"/>
          <w:szCs w:val="32"/>
          <w:highlight w:val="none"/>
          <w:u w:val="none"/>
          <w:lang w:val="en-US" w:eastAsia="zh-CN" w:bidi="ar"/>
        </w:rPr>
        <w:t>。</w:t>
      </w:r>
      <w:r>
        <w:rPr>
          <w:rFonts w:hint="default" w:ascii="Times New Roman" w:hAnsi="Times New Roman" w:eastAsia="仿宋_GB2312" w:cs="Times New Roman"/>
          <w:color w:val="auto"/>
          <w:kern w:val="2"/>
          <w:sz w:val="32"/>
          <w:szCs w:val="32"/>
          <w:highlight w:val="none"/>
          <w:u w:val="none"/>
          <w:lang w:val="en-US" w:eastAsia="zh-CN" w:bidi="ar"/>
        </w:rPr>
        <w:t>加强水利专业人才培养和引进，通过组织业务培训、学术交流活动，提升现有人员业务能力；引进水利相关专业高层次人才充实水利人才队伍，为水利事业发展提供人才支撑。水生态系统得到有效保护和修复，主要河道生态基流得到保障，农村黑臭水体基本消除，水土流失治理程度达85%以上，水资源质量持续改善。</w:t>
      </w:r>
      <w:r>
        <w:rPr>
          <w:rFonts w:hint="eastAsia" w:ascii="Times New Roman" w:hAnsi="Times New Roman" w:eastAsia="仿宋_GB2312" w:cs="Times New Roman"/>
          <w:b/>
          <w:bCs/>
          <w:color w:val="auto"/>
          <w:kern w:val="2"/>
          <w:sz w:val="32"/>
          <w:szCs w:val="32"/>
          <w:highlight w:val="none"/>
          <w:u w:val="none"/>
          <w:lang w:val="en-US" w:eastAsia="zh-CN" w:bidi="ar"/>
        </w:rPr>
        <w:t>水利管理。</w:t>
      </w:r>
      <w:r>
        <w:rPr>
          <w:rFonts w:hint="default" w:ascii="Times New Roman" w:hAnsi="Times New Roman" w:eastAsia="仿宋_GB2312" w:cs="Times New Roman"/>
          <w:color w:val="auto"/>
          <w:kern w:val="2"/>
          <w:sz w:val="32"/>
          <w:szCs w:val="32"/>
          <w:highlight w:val="none"/>
          <w:u w:val="none"/>
          <w:lang w:val="en-US" w:eastAsia="zh-CN" w:bidi="ar"/>
        </w:rPr>
        <w:t>水利管理体制机制更加健全，信息化、智能化水平显著提升，水利人才队伍结构优化，行业监管能力全面增强</w:t>
      </w:r>
      <w:r>
        <w:rPr>
          <w:rFonts w:hint="eastAsia" w:ascii="Times New Roman" w:hAnsi="Times New Roman" w:eastAsia="仿宋_GB2312" w:cs="Times New Roman"/>
          <w:color w:val="auto"/>
          <w:kern w:val="2"/>
          <w:sz w:val="32"/>
          <w:szCs w:val="32"/>
          <w:highlight w:val="none"/>
          <w:u w:val="none"/>
          <w:lang w:val="en-US" w:eastAsia="zh-CN" w:bidi="ar"/>
        </w:rPr>
        <w:t>。</w:t>
      </w:r>
    </w:p>
    <w:tbl>
      <w:tblPr>
        <w:tblStyle w:val="2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74"/>
      </w:tblGrid>
      <w:tr w14:paraId="3CAE37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jc w:val="center"/>
        </w:trPr>
        <w:tc>
          <w:tcPr>
            <w:tcW w:w="8674" w:type="dxa"/>
            <w:noWrap w:val="0"/>
            <w:vAlign w:val="center"/>
          </w:tcPr>
          <w:p w14:paraId="3D8B6EE3">
            <w:pPr>
              <w:keepNext w:val="0"/>
              <w:keepLines w:val="0"/>
              <w:pageBreakBefore w:val="0"/>
              <w:widowControl w:val="0"/>
              <w:suppressLineNumbers w:val="0"/>
              <w:kinsoku/>
              <w:wordWrap/>
              <w:overflowPunct/>
              <w:topLinePunct w:val="0"/>
              <w:autoSpaceDE/>
              <w:autoSpaceDN/>
              <w:bidi w:val="0"/>
              <w:adjustRightInd w:val="0"/>
              <w:snapToGrid w:val="0"/>
              <w:spacing w:beforeAutospacing="0" w:afterAutospacing="0" w:line="400" w:lineRule="exact"/>
              <w:ind w:left="0" w:right="0" w:firstLine="0" w:firstLineChars="0"/>
              <w:jc w:val="center"/>
              <w:textAlignment w:val="auto"/>
              <w:rPr>
                <w:rFonts w:hint="default" w:ascii="Times New Roman" w:hAnsi="Times New Roman" w:eastAsia="仿宋" w:cs="Times New Roman"/>
                <w:color w:val="auto"/>
                <w:sz w:val="28"/>
                <w:szCs w:val="28"/>
                <w:highlight w:val="none"/>
                <w:u w:val="none"/>
                <w:shd w:val="clear" w:color="auto" w:fill="FFFFFF"/>
              </w:rPr>
            </w:pPr>
            <w:r>
              <w:rPr>
                <w:rFonts w:hint="eastAsia" w:ascii="楷体_GB2312" w:hAnsi="楷体_GB2312" w:eastAsia="楷体_GB2312" w:cs="楷体_GB2312"/>
                <w:b/>
                <w:bCs w:val="0"/>
                <w:color w:val="auto"/>
                <w:sz w:val="28"/>
                <w:szCs w:val="28"/>
                <w:highlight w:val="none"/>
                <w:u w:val="none"/>
                <w:shd w:val="clear" w:color="auto" w:fill="FFFFFF"/>
                <w:lang w:val="en-US" w:eastAsia="zh-CN"/>
              </w:rPr>
              <w:t>专栏9-2：“十五五”期间现代水利设施重点项目</w:t>
            </w:r>
          </w:p>
        </w:tc>
      </w:tr>
      <w:tr w14:paraId="4F67A9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jc w:val="center"/>
        </w:trPr>
        <w:tc>
          <w:tcPr>
            <w:tcW w:w="8674" w:type="dxa"/>
            <w:noWrap w:val="0"/>
            <w:vAlign w:val="center"/>
          </w:tcPr>
          <w:p w14:paraId="788BC115">
            <w:pPr>
              <w:keepNext w:val="0"/>
              <w:keepLines w:val="0"/>
              <w:pageBreakBefore w:val="0"/>
              <w:widowControl w:val="0"/>
              <w:suppressLineNumbers w:val="0"/>
              <w:kinsoku/>
              <w:wordWrap/>
              <w:overflowPunct/>
              <w:topLinePunct w:val="0"/>
              <w:autoSpaceDE/>
              <w:autoSpaceDN/>
              <w:bidi w:val="0"/>
              <w:adjustRightInd w:val="0"/>
              <w:snapToGrid w:val="0"/>
              <w:spacing w:beforeAutospacing="0" w:afterAutospacing="0" w:line="400" w:lineRule="exact"/>
              <w:ind w:left="0" w:right="0" w:firstLine="562" w:firstLineChars="200"/>
              <w:jc w:val="both"/>
              <w:textAlignment w:val="auto"/>
              <w:rPr>
                <w:rFonts w:hint="eastAsia" w:ascii="Times New Roman" w:hAnsi="Times New Roman" w:eastAsia="仿宋_GB2312" w:cs="Times New Roman"/>
                <w:b/>
                <w:bCs/>
                <w:color w:val="auto"/>
                <w:kern w:val="2"/>
                <w:sz w:val="28"/>
                <w:szCs w:val="28"/>
                <w:highlight w:val="none"/>
                <w:u w:val="none"/>
                <w:lang w:val="en-US" w:eastAsia="zh-CN" w:bidi="ar-SA"/>
              </w:rPr>
            </w:pPr>
            <w:r>
              <w:rPr>
                <w:rFonts w:hint="eastAsia" w:ascii="Times New Roman" w:hAnsi="Times New Roman" w:eastAsia="仿宋_GB2312" w:cs="Times New Roman"/>
                <w:b/>
                <w:bCs/>
                <w:color w:val="auto"/>
                <w:kern w:val="2"/>
                <w:sz w:val="28"/>
                <w:szCs w:val="28"/>
                <w:highlight w:val="none"/>
                <w:u w:val="none"/>
                <w:lang w:val="en-US" w:eastAsia="zh-CN" w:bidi="ar-SA"/>
              </w:rPr>
              <w:t>（一）防洪减灾类项目</w:t>
            </w:r>
          </w:p>
          <w:p w14:paraId="035FAB28">
            <w:pPr>
              <w:keepNext w:val="0"/>
              <w:keepLines w:val="0"/>
              <w:pageBreakBefore w:val="0"/>
              <w:widowControl w:val="0"/>
              <w:suppressLineNumbers w:val="0"/>
              <w:kinsoku/>
              <w:wordWrap/>
              <w:overflowPunct/>
              <w:topLinePunct w:val="0"/>
              <w:autoSpaceDE/>
              <w:autoSpaceDN/>
              <w:bidi w:val="0"/>
              <w:adjustRightInd w:val="0"/>
              <w:snapToGrid w:val="0"/>
              <w:spacing w:beforeAutospacing="0" w:afterAutospacing="0" w:line="400" w:lineRule="exact"/>
              <w:ind w:left="0" w:right="0" w:firstLine="560" w:firstLineChars="200"/>
              <w:jc w:val="both"/>
              <w:textAlignment w:val="auto"/>
              <w:rPr>
                <w:rFonts w:hint="eastAsia" w:ascii="Times New Roman" w:hAnsi="Times New Roman" w:eastAsia="仿宋_GB2312" w:cs="Times New Roman"/>
                <w:b w:val="0"/>
                <w:bCs w:val="0"/>
                <w:color w:val="auto"/>
                <w:kern w:val="2"/>
                <w:sz w:val="28"/>
                <w:szCs w:val="28"/>
                <w:highlight w:val="none"/>
                <w:u w:val="none"/>
                <w:lang w:val="en-US" w:eastAsia="zh-CN" w:bidi="ar-SA"/>
              </w:rPr>
            </w:pPr>
            <w:r>
              <w:rPr>
                <w:rFonts w:hint="eastAsia" w:ascii="Times New Roman" w:hAnsi="Times New Roman" w:eastAsia="仿宋_GB2312" w:cs="Times New Roman"/>
                <w:b w:val="0"/>
                <w:bCs w:val="0"/>
                <w:color w:val="auto"/>
                <w:kern w:val="2"/>
                <w:sz w:val="28"/>
                <w:szCs w:val="28"/>
                <w:highlight w:val="none"/>
                <w:u w:val="none"/>
                <w:lang w:val="en-US" w:eastAsia="zh-CN" w:bidi="ar-SA"/>
              </w:rPr>
              <w:t>扶沟县农村沟渠治理工程：计划总投资14.8亿元，县域范围内对引黄干渠、江村沟、麻里沟等78条，总长320公里，包括清淤疏浚、堤防加固、岸线防护等内容。预计2027-2030年实施。</w:t>
            </w:r>
          </w:p>
          <w:p w14:paraId="70EADED9">
            <w:pPr>
              <w:keepNext w:val="0"/>
              <w:keepLines w:val="0"/>
              <w:pageBreakBefore w:val="0"/>
              <w:widowControl w:val="0"/>
              <w:suppressLineNumbers w:val="0"/>
              <w:kinsoku/>
              <w:wordWrap/>
              <w:overflowPunct/>
              <w:topLinePunct w:val="0"/>
              <w:autoSpaceDE/>
              <w:autoSpaceDN/>
              <w:bidi w:val="0"/>
              <w:adjustRightInd w:val="0"/>
              <w:snapToGrid w:val="0"/>
              <w:spacing w:beforeAutospacing="0" w:afterAutospacing="0" w:line="400" w:lineRule="exact"/>
              <w:ind w:left="0" w:right="0" w:firstLine="560" w:firstLineChars="200"/>
              <w:jc w:val="both"/>
              <w:textAlignment w:val="auto"/>
              <w:rPr>
                <w:rFonts w:hint="eastAsia" w:ascii="Times New Roman" w:hAnsi="Times New Roman" w:eastAsia="仿宋_GB2312" w:cs="Times New Roman"/>
                <w:b w:val="0"/>
                <w:bCs w:val="0"/>
                <w:color w:val="auto"/>
                <w:kern w:val="2"/>
                <w:sz w:val="28"/>
                <w:szCs w:val="28"/>
                <w:highlight w:val="none"/>
                <w:u w:val="none"/>
                <w:lang w:val="en-US" w:eastAsia="zh-CN" w:bidi="ar-SA"/>
              </w:rPr>
            </w:pPr>
            <w:r>
              <w:rPr>
                <w:rFonts w:hint="eastAsia" w:ascii="Times New Roman" w:hAnsi="Times New Roman" w:eastAsia="仿宋_GB2312" w:cs="Times New Roman"/>
                <w:b w:val="0"/>
                <w:bCs w:val="0"/>
                <w:color w:val="auto"/>
                <w:kern w:val="2"/>
                <w:sz w:val="28"/>
                <w:szCs w:val="28"/>
                <w:highlight w:val="none"/>
                <w:u w:val="none"/>
                <w:lang w:val="en-US" w:eastAsia="zh-CN" w:bidi="ar-SA"/>
              </w:rPr>
              <w:t>扶沟县颍河（大狼沟）重点区域排涝项目：计划总投资7822万元，重建水闸6个，新建水闸15个，清淤疏浚227.05公里，涵管60座，重建桥梁31座。预计2027-2030年实施。</w:t>
            </w:r>
          </w:p>
          <w:p w14:paraId="3F70E626">
            <w:pPr>
              <w:keepNext w:val="0"/>
              <w:keepLines w:val="0"/>
              <w:pageBreakBefore w:val="0"/>
              <w:widowControl w:val="0"/>
              <w:suppressLineNumbers w:val="0"/>
              <w:kinsoku/>
              <w:wordWrap/>
              <w:overflowPunct/>
              <w:topLinePunct w:val="0"/>
              <w:autoSpaceDE/>
              <w:autoSpaceDN/>
              <w:bidi w:val="0"/>
              <w:adjustRightInd w:val="0"/>
              <w:snapToGrid w:val="0"/>
              <w:spacing w:beforeAutospacing="0" w:afterAutospacing="0" w:line="400" w:lineRule="exact"/>
              <w:ind w:left="0" w:right="0" w:firstLine="560" w:firstLineChars="200"/>
              <w:jc w:val="both"/>
              <w:textAlignment w:val="auto"/>
              <w:rPr>
                <w:rFonts w:hint="eastAsia" w:ascii="Times New Roman" w:hAnsi="Times New Roman" w:eastAsia="仿宋_GB2312" w:cs="Times New Roman"/>
                <w:b w:val="0"/>
                <w:bCs w:val="0"/>
                <w:color w:val="auto"/>
                <w:kern w:val="2"/>
                <w:sz w:val="28"/>
                <w:szCs w:val="28"/>
                <w:highlight w:val="none"/>
                <w:u w:val="none"/>
                <w:lang w:val="en-US" w:eastAsia="zh-CN" w:bidi="ar-SA"/>
              </w:rPr>
            </w:pPr>
            <w:r>
              <w:rPr>
                <w:rFonts w:hint="eastAsia" w:ascii="Times New Roman" w:hAnsi="Times New Roman" w:eastAsia="仿宋_GB2312" w:cs="Times New Roman"/>
                <w:b w:val="0"/>
                <w:bCs w:val="0"/>
                <w:color w:val="auto"/>
                <w:kern w:val="2"/>
                <w:sz w:val="28"/>
                <w:szCs w:val="28"/>
                <w:highlight w:val="none"/>
                <w:u w:val="none"/>
                <w:lang w:val="en-US" w:eastAsia="zh-CN" w:bidi="ar-SA"/>
              </w:rPr>
              <w:t>扶沟县贾鲁河至涡河水系连通工程：计划总投资1.2亿元，疏浚红旗渠贾鲁河口～入尉扶河口的渠道18.8公里，生态护岸37.6公里、建设沿岸道路18.8公里；新建、重建沟口涵闸11座；重建生产桥7座。预计2027-2030年实施。</w:t>
            </w:r>
          </w:p>
          <w:p w14:paraId="7F5819A2">
            <w:pPr>
              <w:keepNext w:val="0"/>
              <w:keepLines w:val="0"/>
              <w:pageBreakBefore w:val="0"/>
              <w:widowControl w:val="0"/>
              <w:suppressLineNumbers w:val="0"/>
              <w:kinsoku/>
              <w:wordWrap/>
              <w:overflowPunct/>
              <w:topLinePunct w:val="0"/>
              <w:autoSpaceDE/>
              <w:autoSpaceDN/>
              <w:bidi w:val="0"/>
              <w:adjustRightInd w:val="0"/>
              <w:snapToGrid w:val="0"/>
              <w:spacing w:beforeAutospacing="0" w:afterAutospacing="0" w:line="400" w:lineRule="exact"/>
              <w:ind w:left="0" w:right="0" w:firstLine="560" w:firstLineChars="200"/>
              <w:jc w:val="both"/>
              <w:textAlignment w:val="auto"/>
              <w:rPr>
                <w:rFonts w:hint="eastAsia" w:ascii="Times New Roman" w:hAnsi="Times New Roman" w:eastAsia="仿宋_GB2312" w:cs="Times New Roman"/>
                <w:b w:val="0"/>
                <w:bCs w:val="0"/>
                <w:color w:val="auto"/>
                <w:kern w:val="2"/>
                <w:sz w:val="28"/>
                <w:szCs w:val="28"/>
                <w:highlight w:val="none"/>
                <w:u w:val="none"/>
                <w:lang w:val="en-US" w:eastAsia="zh-CN" w:bidi="ar-SA"/>
              </w:rPr>
            </w:pPr>
            <w:r>
              <w:rPr>
                <w:rFonts w:hint="eastAsia" w:ascii="Times New Roman" w:hAnsi="Times New Roman" w:eastAsia="仿宋_GB2312" w:cs="Times New Roman"/>
                <w:b w:val="0"/>
                <w:bCs w:val="0"/>
                <w:color w:val="auto"/>
                <w:kern w:val="2"/>
                <w:sz w:val="28"/>
                <w:szCs w:val="28"/>
                <w:highlight w:val="none"/>
                <w:u w:val="none"/>
                <w:lang w:val="en-US" w:eastAsia="zh-CN" w:bidi="ar-SA"/>
              </w:rPr>
              <w:t>扶沟县丰收河综合治理项目：计划总投资1375万元，治理段河道总长度共计19.945公里，河道途径各种大小桥梁共计17座。预计2027-2030年实施。</w:t>
            </w:r>
          </w:p>
          <w:p w14:paraId="2909A673">
            <w:pPr>
              <w:keepNext w:val="0"/>
              <w:keepLines w:val="0"/>
              <w:pageBreakBefore w:val="0"/>
              <w:widowControl w:val="0"/>
              <w:suppressLineNumbers w:val="0"/>
              <w:kinsoku/>
              <w:wordWrap/>
              <w:overflowPunct/>
              <w:topLinePunct w:val="0"/>
              <w:autoSpaceDE/>
              <w:autoSpaceDN/>
              <w:bidi w:val="0"/>
              <w:adjustRightInd w:val="0"/>
              <w:snapToGrid w:val="0"/>
              <w:spacing w:beforeAutospacing="0" w:afterAutospacing="0" w:line="400" w:lineRule="exact"/>
              <w:ind w:left="0" w:right="0" w:firstLine="560" w:firstLineChars="200"/>
              <w:jc w:val="both"/>
              <w:textAlignment w:val="auto"/>
              <w:rPr>
                <w:rFonts w:hint="eastAsia" w:ascii="Times New Roman" w:hAnsi="Times New Roman" w:eastAsia="仿宋_GB2312" w:cs="Times New Roman"/>
                <w:b w:val="0"/>
                <w:bCs w:val="0"/>
                <w:color w:val="auto"/>
                <w:kern w:val="2"/>
                <w:sz w:val="28"/>
                <w:szCs w:val="28"/>
                <w:highlight w:val="none"/>
                <w:u w:val="none"/>
                <w:lang w:val="en-US" w:eastAsia="zh-CN" w:bidi="ar-SA"/>
              </w:rPr>
            </w:pPr>
            <w:r>
              <w:rPr>
                <w:rFonts w:hint="eastAsia" w:ascii="Times New Roman" w:hAnsi="Times New Roman" w:eastAsia="仿宋_GB2312" w:cs="Times New Roman"/>
                <w:b w:val="0"/>
                <w:bCs w:val="0"/>
                <w:color w:val="auto"/>
                <w:kern w:val="2"/>
                <w:sz w:val="28"/>
                <w:szCs w:val="28"/>
                <w:highlight w:val="none"/>
                <w:u w:val="none"/>
                <w:lang w:val="en-US" w:eastAsia="zh-CN" w:bidi="ar-SA"/>
              </w:rPr>
              <w:t>扶沟县农业强县基础设施建设（水利）项目：计划总投资4753.14万元，疏浚河道29.44公里，清淤112.421公里。包含河道堤防加固、岸线治理及防护等内容，预计2027-2030年实施。</w:t>
            </w:r>
          </w:p>
          <w:p w14:paraId="5B8945F9">
            <w:pPr>
              <w:keepNext w:val="0"/>
              <w:keepLines w:val="0"/>
              <w:pageBreakBefore w:val="0"/>
              <w:widowControl w:val="0"/>
              <w:suppressLineNumbers w:val="0"/>
              <w:kinsoku/>
              <w:wordWrap/>
              <w:overflowPunct/>
              <w:topLinePunct w:val="0"/>
              <w:autoSpaceDE/>
              <w:autoSpaceDN/>
              <w:bidi w:val="0"/>
              <w:adjustRightInd w:val="0"/>
              <w:snapToGrid w:val="0"/>
              <w:spacing w:beforeAutospacing="0" w:afterAutospacing="0" w:line="400" w:lineRule="exact"/>
              <w:ind w:left="0" w:right="0" w:firstLine="562" w:firstLineChars="200"/>
              <w:jc w:val="both"/>
              <w:textAlignment w:val="auto"/>
              <w:rPr>
                <w:rFonts w:hint="eastAsia" w:ascii="Times New Roman" w:hAnsi="Times New Roman" w:eastAsia="仿宋_GB2312" w:cs="Times New Roman"/>
                <w:b/>
                <w:bCs/>
                <w:color w:val="auto"/>
                <w:kern w:val="2"/>
                <w:sz w:val="28"/>
                <w:szCs w:val="28"/>
                <w:highlight w:val="none"/>
                <w:u w:val="none"/>
                <w:lang w:val="en-US" w:eastAsia="zh-CN" w:bidi="ar-SA"/>
              </w:rPr>
            </w:pPr>
            <w:r>
              <w:rPr>
                <w:rFonts w:hint="eastAsia" w:ascii="Times New Roman" w:hAnsi="Times New Roman" w:eastAsia="仿宋_GB2312" w:cs="Times New Roman"/>
                <w:b/>
                <w:bCs/>
                <w:color w:val="auto"/>
                <w:kern w:val="2"/>
                <w:sz w:val="28"/>
                <w:szCs w:val="28"/>
                <w:highlight w:val="none"/>
                <w:u w:val="none"/>
                <w:lang w:val="en-US" w:eastAsia="zh-CN" w:bidi="ar-SA"/>
              </w:rPr>
              <w:t>（二）供水保障类项目</w:t>
            </w:r>
          </w:p>
          <w:p w14:paraId="7D6879CC">
            <w:pPr>
              <w:keepNext w:val="0"/>
              <w:keepLines w:val="0"/>
              <w:pageBreakBefore w:val="0"/>
              <w:widowControl w:val="0"/>
              <w:suppressLineNumbers w:val="0"/>
              <w:kinsoku/>
              <w:wordWrap/>
              <w:overflowPunct/>
              <w:topLinePunct w:val="0"/>
              <w:autoSpaceDE/>
              <w:autoSpaceDN/>
              <w:bidi w:val="0"/>
              <w:adjustRightInd w:val="0"/>
              <w:snapToGrid w:val="0"/>
              <w:spacing w:beforeAutospacing="0" w:afterAutospacing="0" w:line="400" w:lineRule="exact"/>
              <w:ind w:left="0" w:right="0" w:firstLine="560" w:firstLineChars="200"/>
              <w:jc w:val="both"/>
              <w:textAlignment w:val="auto"/>
              <w:rPr>
                <w:rFonts w:hint="eastAsia" w:ascii="Times New Roman" w:hAnsi="Times New Roman" w:eastAsia="仿宋_GB2312" w:cs="Times New Roman"/>
                <w:b w:val="0"/>
                <w:bCs w:val="0"/>
                <w:color w:val="auto"/>
                <w:kern w:val="2"/>
                <w:sz w:val="28"/>
                <w:szCs w:val="28"/>
                <w:highlight w:val="none"/>
                <w:u w:val="none"/>
                <w:lang w:val="en-US" w:eastAsia="zh-CN" w:bidi="ar-SA"/>
              </w:rPr>
            </w:pPr>
            <w:r>
              <w:rPr>
                <w:rFonts w:hint="eastAsia" w:ascii="Times New Roman" w:hAnsi="Times New Roman" w:eastAsia="仿宋_GB2312" w:cs="Times New Roman"/>
                <w:b w:val="0"/>
                <w:bCs w:val="0"/>
                <w:color w:val="auto"/>
                <w:kern w:val="2"/>
                <w:sz w:val="28"/>
                <w:szCs w:val="28"/>
                <w:highlight w:val="none"/>
                <w:u w:val="none"/>
                <w:lang w:val="en-US" w:eastAsia="zh-CN" w:bidi="ar-SA"/>
              </w:rPr>
              <w:t>扶沟县城乡一体化供水工程：计划总投资15.6亿元，新建南水北调水厂占地60亩，设计规模近期5万m³/d远期8.0万m³/d。水厂附近新建按照5~7日应急供水考虑，占地约206亩，库容约32万m³。配水管网工程县城位于扶沟县中部，配水管网拟采用树状布置、需共铺设应急供水管道6.38公里，配水管道134.05公里。预计2027-2030年实施。</w:t>
            </w:r>
          </w:p>
          <w:p w14:paraId="440DB534">
            <w:pPr>
              <w:keepNext w:val="0"/>
              <w:keepLines w:val="0"/>
              <w:pageBreakBefore w:val="0"/>
              <w:widowControl w:val="0"/>
              <w:suppressLineNumbers w:val="0"/>
              <w:kinsoku/>
              <w:wordWrap/>
              <w:overflowPunct/>
              <w:topLinePunct w:val="0"/>
              <w:autoSpaceDE/>
              <w:autoSpaceDN/>
              <w:bidi w:val="0"/>
              <w:adjustRightInd w:val="0"/>
              <w:snapToGrid w:val="0"/>
              <w:spacing w:beforeAutospacing="0" w:afterAutospacing="0" w:line="400" w:lineRule="exact"/>
              <w:ind w:left="0" w:right="0" w:firstLine="560" w:firstLineChars="200"/>
              <w:jc w:val="both"/>
              <w:textAlignment w:val="auto"/>
              <w:rPr>
                <w:rFonts w:hint="eastAsia" w:ascii="Times New Roman" w:hAnsi="Times New Roman" w:eastAsia="仿宋_GB2312" w:cs="Times New Roman"/>
                <w:b w:val="0"/>
                <w:bCs w:val="0"/>
                <w:color w:val="auto"/>
                <w:kern w:val="2"/>
                <w:sz w:val="28"/>
                <w:szCs w:val="28"/>
                <w:highlight w:val="none"/>
                <w:u w:val="none"/>
                <w:lang w:val="en-US" w:eastAsia="zh-CN" w:bidi="ar-SA"/>
              </w:rPr>
            </w:pPr>
            <w:r>
              <w:rPr>
                <w:rFonts w:hint="eastAsia" w:ascii="Times New Roman" w:hAnsi="Times New Roman" w:eastAsia="仿宋_GB2312" w:cs="Times New Roman"/>
                <w:b w:val="0"/>
                <w:bCs w:val="0"/>
                <w:color w:val="auto"/>
                <w:kern w:val="2"/>
                <w:sz w:val="28"/>
                <w:szCs w:val="28"/>
                <w:highlight w:val="none"/>
                <w:u w:val="none"/>
                <w:lang w:val="en-US" w:eastAsia="zh-CN" w:bidi="ar-SA"/>
              </w:rPr>
              <w:t>扶沟县孟亭引黄调蓄工程：计划总投资13.36亿元，主要包括调蓄湖工程、引水工程、出水工程和生态修复工程等，水面面积约167万㎡，库容550万m³，设计灌溉面积6.5万亩，一年需引水4次，共引黄水量1969.8万m³，引水补源主要涉及扶沟县的韭园镇、柴岗乡、</w:t>
            </w:r>
            <w:r>
              <w:rPr>
                <w:rFonts w:hint="eastAsia" w:ascii="Times New Roman" w:hAnsi="Times New Roman" w:eastAsia="仿宋_GB2312" w:cs="Times New Roman"/>
                <w:color w:val="auto"/>
                <w:kern w:val="2"/>
                <w:sz w:val="28"/>
                <w:szCs w:val="28"/>
                <w:highlight w:val="none"/>
                <w:u w:val="none"/>
                <w:lang w:val="en-US" w:eastAsia="zh-CN" w:bidi="ar-SA"/>
              </w:rPr>
              <w:t>帛亭街道办</w:t>
            </w:r>
            <w:r>
              <w:rPr>
                <w:rFonts w:hint="eastAsia" w:ascii="Times New Roman" w:hAnsi="Times New Roman" w:eastAsia="仿宋_GB2312" w:cs="Times New Roman"/>
                <w:b w:val="0"/>
                <w:bCs w:val="0"/>
                <w:color w:val="auto"/>
                <w:kern w:val="2"/>
                <w:sz w:val="28"/>
                <w:szCs w:val="28"/>
                <w:highlight w:val="none"/>
                <w:u w:val="none"/>
                <w:lang w:val="en-US" w:eastAsia="zh-CN" w:bidi="ar-SA"/>
              </w:rPr>
              <w:t>、固城乡等四个乡镇，年补源水量1256万m³。预计2027-2030年实施。</w:t>
            </w:r>
          </w:p>
          <w:p w14:paraId="73FC718A">
            <w:pPr>
              <w:keepNext w:val="0"/>
              <w:keepLines w:val="0"/>
              <w:pageBreakBefore w:val="0"/>
              <w:widowControl w:val="0"/>
              <w:suppressLineNumbers w:val="0"/>
              <w:kinsoku/>
              <w:wordWrap/>
              <w:overflowPunct/>
              <w:topLinePunct w:val="0"/>
              <w:autoSpaceDE/>
              <w:autoSpaceDN/>
              <w:bidi w:val="0"/>
              <w:adjustRightInd w:val="0"/>
              <w:snapToGrid w:val="0"/>
              <w:spacing w:beforeAutospacing="0" w:afterAutospacing="0" w:line="400" w:lineRule="exact"/>
              <w:ind w:left="0" w:right="0" w:firstLine="560" w:firstLineChars="200"/>
              <w:jc w:val="both"/>
              <w:textAlignment w:val="auto"/>
              <w:rPr>
                <w:rFonts w:hint="eastAsia" w:ascii="Times New Roman" w:hAnsi="Times New Roman" w:eastAsia="仿宋_GB2312" w:cs="Times New Roman"/>
                <w:b w:val="0"/>
                <w:bCs w:val="0"/>
                <w:color w:val="auto"/>
                <w:kern w:val="2"/>
                <w:sz w:val="28"/>
                <w:szCs w:val="28"/>
                <w:highlight w:val="none"/>
                <w:u w:val="none"/>
                <w:lang w:val="en-US" w:eastAsia="zh-CN" w:bidi="ar-SA"/>
              </w:rPr>
            </w:pPr>
            <w:r>
              <w:rPr>
                <w:rFonts w:hint="eastAsia" w:ascii="Times New Roman" w:hAnsi="Times New Roman" w:eastAsia="仿宋_GB2312" w:cs="Times New Roman"/>
                <w:b w:val="0"/>
                <w:bCs w:val="0"/>
                <w:color w:val="auto"/>
                <w:kern w:val="2"/>
                <w:sz w:val="28"/>
                <w:szCs w:val="28"/>
                <w:highlight w:val="none"/>
                <w:u w:val="none"/>
                <w:lang w:val="en-US" w:eastAsia="zh-CN" w:bidi="ar-SA"/>
              </w:rPr>
              <w:t>扶沟县村镇供水巩固提升工程项目：计划总投资3.8亿元。更新改造6个供水区主管网共20万m；为15个供水区更换智能化水表共计10万块；为17个供水区新建水源井17眼，更新改造7个供水区老旧PVC主管网共50万m；为17个供水区更换智能化供水设备及信息化智慧水务系统17套。预计2027-2030年实施。</w:t>
            </w:r>
          </w:p>
          <w:p w14:paraId="378482F6">
            <w:pPr>
              <w:keepNext w:val="0"/>
              <w:keepLines w:val="0"/>
              <w:pageBreakBefore w:val="0"/>
              <w:widowControl w:val="0"/>
              <w:suppressLineNumbers w:val="0"/>
              <w:kinsoku/>
              <w:wordWrap/>
              <w:overflowPunct/>
              <w:topLinePunct w:val="0"/>
              <w:autoSpaceDE/>
              <w:autoSpaceDN/>
              <w:bidi w:val="0"/>
              <w:adjustRightInd w:val="0"/>
              <w:snapToGrid w:val="0"/>
              <w:spacing w:beforeAutospacing="0" w:afterAutospacing="0" w:line="400" w:lineRule="exact"/>
              <w:ind w:left="0" w:right="0" w:firstLine="562" w:firstLineChars="200"/>
              <w:jc w:val="both"/>
              <w:textAlignment w:val="auto"/>
              <w:rPr>
                <w:rFonts w:hint="eastAsia" w:ascii="Times New Roman" w:hAnsi="Times New Roman" w:eastAsia="仿宋_GB2312" w:cs="Times New Roman"/>
                <w:b/>
                <w:bCs/>
                <w:color w:val="auto"/>
                <w:kern w:val="2"/>
                <w:sz w:val="28"/>
                <w:szCs w:val="28"/>
                <w:highlight w:val="none"/>
                <w:u w:val="none"/>
                <w:lang w:val="en-US" w:eastAsia="zh-CN" w:bidi="ar-SA"/>
              </w:rPr>
            </w:pPr>
            <w:r>
              <w:rPr>
                <w:rFonts w:hint="eastAsia" w:ascii="Times New Roman" w:hAnsi="Times New Roman" w:eastAsia="仿宋_GB2312" w:cs="Times New Roman"/>
                <w:b/>
                <w:bCs/>
                <w:color w:val="auto"/>
                <w:kern w:val="2"/>
                <w:sz w:val="28"/>
                <w:szCs w:val="28"/>
                <w:highlight w:val="none"/>
                <w:u w:val="none"/>
                <w:lang w:val="en-US" w:eastAsia="zh-CN" w:bidi="ar-SA"/>
              </w:rPr>
              <w:t>（三）水生态修复类项目</w:t>
            </w:r>
          </w:p>
          <w:p w14:paraId="669AEB9B">
            <w:pPr>
              <w:keepNext w:val="0"/>
              <w:keepLines w:val="0"/>
              <w:pageBreakBefore w:val="0"/>
              <w:widowControl w:val="0"/>
              <w:suppressLineNumbers w:val="0"/>
              <w:kinsoku/>
              <w:wordWrap/>
              <w:overflowPunct/>
              <w:topLinePunct w:val="0"/>
              <w:autoSpaceDE/>
              <w:autoSpaceDN/>
              <w:bidi w:val="0"/>
              <w:adjustRightInd w:val="0"/>
              <w:snapToGrid w:val="0"/>
              <w:spacing w:beforeAutospacing="0" w:afterAutospacing="0" w:line="400" w:lineRule="exact"/>
              <w:ind w:left="0" w:right="0" w:firstLine="560" w:firstLineChars="200"/>
              <w:jc w:val="both"/>
              <w:textAlignment w:val="auto"/>
              <w:rPr>
                <w:rFonts w:hint="eastAsia" w:ascii="Times New Roman" w:hAnsi="Times New Roman" w:eastAsia="仿宋_GB2312" w:cs="Times New Roman"/>
                <w:b w:val="0"/>
                <w:bCs w:val="0"/>
                <w:color w:val="auto"/>
                <w:kern w:val="2"/>
                <w:sz w:val="28"/>
                <w:szCs w:val="28"/>
                <w:highlight w:val="none"/>
                <w:u w:val="none"/>
                <w:lang w:val="en-US" w:eastAsia="zh-CN" w:bidi="ar-SA"/>
              </w:rPr>
            </w:pPr>
            <w:r>
              <w:rPr>
                <w:rFonts w:hint="eastAsia" w:ascii="Times New Roman" w:hAnsi="Times New Roman" w:eastAsia="仿宋_GB2312" w:cs="Times New Roman"/>
                <w:b w:val="0"/>
                <w:bCs w:val="0"/>
                <w:color w:val="auto"/>
                <w:kern w:val="2"/>
                <w:sz w:val="28"/>
                <w:szCs w:val="28"/>
                <w:highlight w:val="none"/>
                <w:u w:val="none"/>
                <w:lang w:val="en-US" w:eastAsia="zh-CN" w:bidi="ar-SA"/>
              </w:rPr>
              <w:t>扶沟生态水系建设工程：计划总投资13.6亿元。针对扶沟县县域9条主干河道、11条干渠进行生态修复治理工程。预计2027-2030年实施。</w:t>
            </w:r>
          </w:p>
          <w:p w14:paraId="5A7C8663">
            <w:pPr>
              <w:keepNext w:val="0"/>
              <w:keepLines w:val="0"/>
              <w:pageBreakBefore w:val="0"/>
              <w:widowControl w:val="0"/>
              <w:suppressLineNumbers w:val="0"/>
              <w:kinsoku/>
              <w:wordWrap/>
              <w:overflowPunct/>
              <w:topLinePunct w:val="0"/>
              <w:autoSpaceDE/>
              <w:autoSpaceDN/>
              <w:bidi w:val="0"/>
              <w:adjustRightInd w:val="0"/>
              <w:snapToGrid w:val="0"/>
              <w:spacing w:beforeAutospacing="0" w:afterAutospacing="0" w:line="400" w:lineRule="exact"/>
              <w:ind w:left="0" w:right="0" w:firstLine="560" w:firstLineChars="200"/>
              <w:jc w:val="both"/>
              <w:textAlignment w:val="auto"/>
              <w:rPr>
                <w:rFonts w:hint="eastAsia" w:ascii="Times New Roman" w:hAnsi="Times New Roman" w:eastAsia="仿宋_GB2312" w:cs="Times New Roman"/>
                <w:b w:val="0"/>
                <w:bCs w:val="0"/>
                <w:color w:val="auto"/>
                <w:kern w:val="2"/>
                <w:sz w:val="28"/>
                <w:szCs w:val="28"/>
                <w:highlight w:val="none"/>
                <w:u w:val="none"/>
                <w:lang w:val="en-US" w:eastAsia="zh-CN" w:bidi="ar-SA"/>
              </w:rPr>
            </w:pPr>
            <w:r>
              <w:rPr>
                <w:rFonts w:hint="eastAsia" w:ascii="Times New Roman" w:hAnsi="Times New Roman" w:eastAsia="仿宋_GB2312" w:cs="Times New Roman"/>
                <w:b w:val="0"/>
                <w:bCs w:val="0"/>
                <w:color w:val="auto"/>
                <w:kern w:val="2"/>
                <w:sz w:val="28"/>
                <w:szCs w:val="28"/>
                <w:highlight w:val="none"/>
                <w:u w:val="none"/>
                <w:lang w:val="en-US" w:eastAsia="zh-CN" w:bidi="ar-SA"/>
              </w:rPr>
              <w:t>扶沟县域水系连通及水美乡村工程：计划总投资7.89亿元。工程包含水系连通工程、清淤疏浚及护岸工程、桥闸工程、骨干河渠堤顶路工程等四项工程内容。1.水系连通工程，11条河渠水系合计长度107.66公里。2.清淤疏浚及护岸工程，54条河渠水系合计长度311.67公里。河道（乡镇段）生态护岸工程，总长12.13公里。3.桥闸工程，重建及新建90座闸，新建、重建58座生产桥。4.骨干河渠堤顶路建设工程，新建沥青路面堤顶路总长272公里。</w:t>
            </w:r>
          </w:p>
          <w:p w14:paraId="60418774">
            <w:pPr>
              <w:keepNext w:val="0"/>
              <w:keepLines w:val="0"/>
              <w:pageBreakBefore w:val="0"/>
              <w:widowControl w:val="0"/>
              <w:suppressLineNumbers w:val="0"/>
              <w:kinsoku/>
              <w:wordWrap/>
              <w:overflowPunct/>
              <w:topLinePunct w:val="0"/>
              <w:autoSpaceDE/>
              <w:autoSpaceDN/>
              <w:bidi w:val="0"/>
              <w:adjustRightInd w:val="0"/>
              <w:snapToGrid w:val="0"/>
              <w:spacing w:beforeAutospacing="0" w:afterAutospacing="0" w:line="400" w:lineRule="exact"/>
              <w:ind w:left="0" w:right="0" w:firstLine="560" w:firstLineChars="200"/>
              <w:jc w:val="both"/>
              <w:textAlignment w:val="auto"/>
              <w:rPr>
                <w:rFonts w:hint="eastAsia" w:ascii="Times New Roman" w:hAnsi="Times New Roman" w:eastAsia="仿宋_GB2312" w:cs="Times New Roman"/>
                <w:b w:val="0"/>
                <w:bCs w:val="0"/>
                <w:color w:val="auto"/>
                <w:kern w:val="2"/>
                <w:sz w:val="28"/>
                <w:szCs w:val="28"/>
                <w:highlight w:val="none"/>
                <w:u w:val="none"/>
                <w:lang w:val="en-US" w:eastAsia="zh-CN" w:bidi="ar-SA"/>
              </w:rPr>
            </w:pPr>
            <w:r>
              <w:rPr>
                <w:rFonts w:hint="eastAsia" w:ascii="Times New Roman" w:hAnsi="Times New Roman" w:eastAsia="仿宋_GB2312" w:cs="Times New Roman"/>
                <w:b w:val="0"/>
                <w:bCs w:val="0"/>
                <w:color w:val="auto"/>
                <w:kern w:val="2"/>
                <w:sz w:val="28"/>
                <w:szCs w:val="28"/>
                <w:highlight w:val="none"/>
                <w:u w:val="none"/>
                <w:lang w:val="en-US" w:eastAsia="zh-CN" w:bidi="ar-SA"/>
              </w:rPr>
              <w:t>扶沟县城南水系连通综合环境提升工程：计划总投资4.92亿元，截污工程，新建及改造河道沿岸截污玻璃钢夹砂管道12.95千米。新建污水提升泵站1座，初雨储存池6座。河道疏浚清淤总长度6.59千米。河道补水及生态净化工程，新建循环管道7.315千米。循环泵站1座，拦水坝5座。人工湿地6万㎡，太阳能浮水喷泉增氧机50套。新建调度中心1座。2.环境景观提升工程：滨河绿化工程，总面积109.61公顷。水系堤岸整理，总长度24640米。配套设施，给排水外网31225米，电气外网18735米，景观配套设施25处。桥涵建设涵洞6座。预计2027-2030年实施。</w:t>
            </w:r>
          </w:p>
          <w:p w14:paraId="6F169624">
            <w:pPr>
              <w:keepNext w:val="0"/>
              <w:keepLines w:val="0"/>
              <w:pageBreakBefore w:val="0"/>
              <w:widowControl w:val="0"/>
              <w:suppressLineNumbers w:val="0"/>
              <w:kinsoku/>
              <w:wordWrap/>
              <w:overflowPunct/>
              <w:topLinePunct w:val="0"/>
              <w:autoSpaceDE/>
              <w:autoSpaceDN/>
              <w:bidi w:val="0"/>
              <w:adjustRightInd w:val="0"/>
              <w:snapToGrid w:val="0"/>
              <w:spacing w:beforeAutospacing="0" w:afterAutospacing="0" w:line="400" w:lineRule="exact"/>
              <w:ind w:left="0" w:right="0" w:firstLine="562" w:firstLineChars="200"/>
              <w:jc w:val="both"/>
              <w:textAlignment w:val="auto"/>
              <w:rPr>
                <w:rFonts w:hint="eastAsia" w:ascii="Times New Roman" w:hAnsi="Times New Roman" w:eastAsia="仿宋_GB2312" w:cs="Times New Roman"/>
                <w:b/>
                <w:bCs/>
                <w:color w:val="auto"/>
                <w:kern w:val="2"/>
                <w:sz w:val="28"/>
                <w:szCs w:val="28"/>
                <w:highlight w:val="none"/>
                <w:u w:val="none"/>
                <w:lang w:val="en-US" w:eastAsia="zh-CN" w:bidi="ar-SA"/>
              </w:rPr>
            </w:pPr>
            <w:r>
              <w:rPr>
                <w:rFonts w:hint="eastAsia" w:ascii="Times New Roman" w:hAnsi="Times New Roman" w:eastAsia="仿宋_GB2312" w:cs="Times New Roman"/>
                <w:b/>
                <w:bCs/>
                <w:color w:val="auto"/>
                <w:kern w:val="2"/>
                <w:sz w:val="28"/>
                <w:szCs w:val="28"/>
                <w:highlight w:val="none"/>
                <w:u w:val="none"/>
                <w:lang w:val="en-US" w:eastAsia="zh-CN" w:bidi="ar-SA"/>
              </w:rPr>
              <w:t>（四）智慧水利类项目</w:t>
            </w:r>
          </w:p>
          <w:p w14:paraId="41988D36">
            <w:pPr>
              <w:keepNext w:val="0"/>
              <w:keepLines w:val="0"/>
              <w:pageBreakBefore w:val="0"/>
              <w:widowControl w:val="0"/>
              <w:suppressLineNumbers w:val="0"/>
              <w:kinsoku/>
              <w:wordWrap/>
              <w:overflowPunct/>
              <w:topLinePunct w:val="0"/>
              <w:autoSpaceDE/>
              <w:autoSpaceDN/>
              <w:bidi w:val="0"/>
              <w:adjustRightInd w:val="0"/>
              <w:snapToGrid w:val="0"/>
              <w:spacing w:beforeAutospacing="0" w:afterAutospacing="0" w:line="400" w:lineRule="exact"/>
              <w:ind w:left="0" w:right="0" w:firstLine="560" w:firstLineChars="200"/>
              <w:jc w:val="both"/>
              <w:textAlignment w:val="auto"/>
              <w:rPr>
                <w:rFonts w:hint="eastAsia" w:ascii="Times New Roman" w:hAnsi="Times New Roman" w:eastAsia="仿宋_GB2312" w:cs="Times New Roman"/>
                <w:b w:val="0"/>
                <w:bCs w:val="0"/>
                <w:color w:val="auto"/>
                <w:kern w:val="2"/>
                <w:sz w:val="28"/>
                <w:szCs w:val="28"/>
                <w:highlight w:val="none"/>
                <w:u w:val="none"/>
                <w:lang w:val="en-US" w:eastAsia="zh-CN" w:bidi="ar-SA"/>
              </w:rPr>
            </w:pPr>
            <w:r>
              <w:rPr>
                <w:rFonts w:hint="eastAsia" w:ascii="Times New Roman" w:hAnsi="Times New Roman" w:eastAsia="仿宋_GB2312" w:cs="Times New Roman"/>
                <w:b w:val="0"/>
                <w:bCs w:val="0"/>
                <w:color w:val="auto"/>
                <w:kern w:val="2"/>
                <w:sz w:val="28"/>
                <w:szCs w:val="28"/>
                <w:highlight w:val="none"/>
                <w:u w:val="none"/>
                <w:lang w:val="en-US" w:eastAsia="zh-CN" w:bidi="ar-SA"/>
              </w:rPr>
              <w:t>扶沟县赵口灌区现代化改造工程：计划总投资21亿元，改造县域内干渠9条，分干渠5条，长155.67km；改造支渠（沟）74条，长474.52km；改造各类渠（沟）道建筑物666座，其中：水闸158座，桥涵507座；硬化管理道路19.50km，增设防护网136.07km。预计2027-2030年实施。</w:t>
            </w:r>
          </w:p>
          <w:p w14:paraId="4EE45329">
            <w:pPr>
              <w:keepNext w:val="0"/>
              <w:keepLines w:val="0"/>
              <w:pageBreakBefore w:val="0"/>
              <w:widowControl w:val="0"/>
              <w:suppressLineNumbers w:val="0"/>
              <w:kinsoku/>
              <w:wordWrap/>
              <w:overflowPunct/>
              <w:topLinePunct w:val="0"/>
              <w:autoSpaceDE/>
              <w:autoSpaceDN/>
              <w:bidi w:val="0"/>
              <w:adjustRightInd w:val="0"/>
              <w:snapToGrid w:val="0"/>
              <w:spacing w:beforeAutospacing="0" w:afterAutospacing="0" w:line="400" w:lineRule="exact"/>
              <w:ind w:left="0" w:right="0" w:firstLine="560" w:firstLineChars="200"/>
              <w:jc w:val="both"/>
              <w:textAlignment w:val="auto"/>
              <w:rPr>
                <w:rFonts w:hint="eastAsia"/>
                <w:lang w:val="en-US" w:eastAsia="zh-CN"/>
              </w:rPr>
            </w:pPr>
            <w:r>
              <w:rPr>
                <w:rFonts w:hint="eastAsia" w:ascii="Times New Roman" w:hAnsi="Times New Roman" w:eastAsia="仿宋_GB2312" w:cs="Times New Roman"/>
                <w:b w:val="0"/>
                <w:bCs w:val="0"/>
                <w:color w:val="auto"/>
                <w:kern w:val="2"/>
                <w:sz w:val="28"/>
                <w:szCs w:val="28"/>
                <w:highlight w:val="none"/>
                <w:u w:val="none"/>
                <w:lang w:val="en-US" w:eastAsia="zh-CN" w:bidi="ar-SA"/>
              </w:rPr>
              <w:t>贾鲁河扶沟段复航工程：计划总投资78亿元，贾鲁河疏浚航道47公里，配套建设桥梁、船闸、涵闸、提灌泵站等设施。预计2027-2030年实施。</w:t>
            </w:r>
          </w:p>
        </w:tc>
      </w:tr>
    </w:tbl>
    <w:p w14:paraId="4141FEB0">
      <w:pPr>
        <w:keepNext/>
        <w:keepLines/>
        <w:pageBreakBefore w:val="0"/>
        <w:widowControl w:val="0"/>
        <w:numPr>
          <w:ilvl w:val="0"/>
          <w:numId w:val="0"/>
        </w:numPr>
        <w:kinsoku/>
        <w:wordWrap/>
        <w:overflowPunct/>
        <w:topLinePunct w:val="0"/>
        <w:autoSpaceDE/>
        <w:autoSpaceDN/>
        <w:bidi w:val="0"/>
        <w:adjustRightInd w:val="0"/>
        <w:snapToGrid w:val="0"/>
        <w:spacing w:before="541" w:beforeLines="150" w:after="156" w:afterLines="50" w:line="560" w:lineRule="exact"/>
        <w:ind w:leftChars="0"/>
        <w:jc w:val="center"/>
        <w:textAlignment w:val="auto"/>
        <w:outlineLvl w:val="2"/>
        <w:rPr>
          <w:rFonts w:hint="eastAsia" w:ascii="Times New Roman" w:hAnsi="Times New Roman" w:eastAsia="黑体" w:cs="Times New Roman"/>
          <w:b/>
          <w:bCs/>
          <w:color w:val="auto"/>
          <w:kern w:val="2"/>
          <w:sz w:val="32"/>
          <w:szCs w:val="32"/>
          <w:highlight w:val="none"/>
          <w:u w:val="none"/>
          <w:lang w:val="en-US" w:eastAsia="zh-CN" w:bidi="ar-SA"/>
        </w:rPr>
      </w:pPr>
      <w:bookmarkStart w:id="199" w:name="_Toc9717"/>
      <w:bookmarkStart w:id="200" w:name="_Toc28482"/>
      <w:bookmarkStart w:id="201" w:name="_Toc22368"/>
      <w:r>
        <w:rPr>
          <w:rFonts w:hint="eastAsia" w:ascii="Times New Roman" w:hAnsi="Times New Roman" w:eastAsia="黑体" w:cs="Times New Roman"/>
          <w:b/>
          <w:bCs/>
          <w:color w:val="auto"/>
          <w:kern w:val="2"/>
          <w:sz w:val="32"/>
          <w:szCs w:val="32"/>
          <w:highlight w:val="none"/>
          <w:u w:val="none"/>
          <w:lang w:val="en-US" w:eastAsia="zh-CN" w:bidi="ar-SA"/>
        </w:rPr>
        <w:t>第三节打造清洁可靠能源保障</w:t>
      </w:r>
      <w:bookmarkEnd w:id="199"/>
      <w:bookmarkEnd w:id="200"/>
      <w:bookmarkEnd w:id="201"/>
    </w:p>
    <w:p w14:paraId="1015965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Times New Roman" w:hAnsi="Times New Roman" w:eastAsia="仿宋_GB2312" w:cs="Times New Roman"/>
          <w:color w:val="auto"/>
          <w:kern w:val="2"/>
          <w:sz w:val="32"/>
          <w:szCs w:val="32"/>
          <w:highlight w:val="none"/>
          <w:u w:val="none"/>
          <w:lang w:val="en-US" w:eastAsia="zh-CN" w:bidi="ar"/>
        </w:rPr>
        <w:t>围绕“碳达峰、碳中和”目标，以“优化结构、完善设施、节约高效”为重点，构建“清洁低碳、安全高效”的现代能源体系，为经济社会发展提供稳定可靠的能源保障。</w:t>
      </w:r>
    </w:p>
    <w:p w14:paraId="64AF00E2">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楷体_GB2312" w:hAnsi="楷体_GB2312" w:eastAsia="楷体_GB2312" w:cs="楷体_GB2312"/>
          <w:b/>
          <w:bCs/>
          <w:color w:val="auto"/>
          <w:kern w:val="2"/>
          <w:sz w:val="32"/>
          <w:szCs w:val="32"/>
          <w:u w:val="none"/>
          <w:lang w:val="en-US" w:eastAsia="zh-CN" w:bidi="ar-SA"/>
        </w:rPr>
        <w:t>优化能源结构。</w:t>
      </w:r>
      <w:r>
        <w:rPr>
          <w:rFonts w:hint="eastAsia" w:ascii="Times New Roman" w:hAnsi="Times New Roman" w:eastAsia="仿宋_GB2312" w:cs="Times New Roman"/>
          <w:color w:val="auto"/>
          <w:kern w:val="2"/>
          <w:sz w:val="32"/>
          <w:szCs w:val="32"/>
          <w:highlight w:val="none"/>
          <w:u w:val="none"/>
          <w:lang w:val="en-US" w:eastAsia="zh-CN" w:bidi="ar"/>
        </w:rPr>
        <w:t>加快能源结构调整，提高清洁能源消费比重。推进太阳能、生物质能等清洁能源开发利用，建设一批清洁能源项目。加强煤炭清洁高效利用，推进煤炭清洁生产和节能减排。推进天然气利用，提高天然气在能源消费中的比重。</w:t>
      </w:r>
    </w:p>
    <w:p w14:paraId="2614F0F2">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楷体_GB2312" w:hAnsi="楷体_GB2312" w:eastAsia="楷体_GB2312" w:cs="楷体_GB2312"/>
          <w:b/>
          <w:bCs/>
          <w:color w:val="auto"/>
          <w:kern w:val="2"/>
          <w:sz w:val="32"/>
          <w:szCs w:val="32"/>
          <w:u w:val="none"/>
          <w:lang w:val="en-US" w:eastAsia="zh-CN" w:bidi="ar-SA"/>
        </w:rPr>
        <w:t>加强能源基础设施建设。</w:t>
      </w:r>
      <w:r>
        <w:rPr>
          <w:rFonts w:hint="eastAsia" w:ascii="Times New Roman" w:hAnsi="Times New Roman" w:eastAsia="仿宋_GB2312" w:cs="Times New Roman"/>
          <w:color w:val="auto"/>
          <w:kern w:val="2"/>
          <w:sz w:val="32"/>
          <w:szCs w:val="32"/>
          <w:highlight w:val="none"/>
          <w:u w:val="none"/>
          <w:lang w:val="en-US" w:eastAsia="zh-CN" w:bidi="ar"/>
        </w:rPr>
        <w:t>加强电力基础设施建设，提高电力供应能力。推进变电站、输电线路等电力设施建设，优化电网布局，提高电网供电可靠性。加强天然气基础设施建设，提高天然气供应能力。推进天然气门站、加气站、管网等设施建设，完善天然气供应网络。加强能源储备设施建设，提高能源应急保障能力。布局新型储能设施，建设源网荷储一体化项目，在产业集聚区推广分布式储能系统，降低企业用电成本，实现能源“错峰填谷”高效利用。</w:t>
      </w:r>
    </w:p>
    <w:p w14:paraId="5677CEE3">
      <w:pPr>
        <w:keepNext w:val="0"/>
        <w:keepLines w:val="0"/>
        <w:pageBreakBefore w:val="0"/>
        <w:widowControl w:val="0"/>
        <w:kinsoku/>
        <w:wordWrap/>
        <w:overflowPunct/>
        <w:topLinePunct w:val="0"/>
        <w:autoSpaceDE/>
        <w:autoSpaceDN/>
        <w:bidi w:val="0"/>
        <w:adjustRightInd w:val="0"/>
        <w:snapToGrid w:val="0"/>
        <w:spacing w:after="721" w:afterLines="200" w:line="560" w:lineRule="exact"/>
        <w:ind w:firstLine="643"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楷体_GB2312" w:hAnsi="楷体_GB2312" w:eastAsia="楷体_GB2312" w:cs="楷体_GB2312"/>
          <w:b/>
          <w:bCs/>
          <w:color w:val="auto"/>
          <w:kern w:val="2"/>
          <w:sz w:val="32"/>
          <w:szCs w:val="32"/>
          <w:u w:val="none"/>
          <w:lang w:val="en-US" w:eastAsia="zh-CN" w:bidi="ar-SA"/>
        </w:rPr>
        <w:t>推进能源节约和消费总量控制。</w:t>
      </w:r>
      <w:r>
        <w:rPr>
          <w:rFonts w:hint="eastAsia" w:ascii="Times New Roman" w:hAnsi="Times New Roman" w:eastAsia="仿宋_GB2312" w:cs="Times New Roman"/>
          <w:color w:val="auto"/>
          <w:kern w:val="2"/>
          <w:sz w:val="32"/>
          <w:szCs w:val="32"/>
          <w:highlight w:val="none"/>
          <w:u w:val="none"/>
          <w:lang w:val="en-US" w:eastAsia="zh-CN" w:bidi="ar"/>
        </w:rPr>
        <w:t>加强能源节约和消费总量控制，提高能源利用效率。推进重点领域和重点用能单位节能改造，推广应用节能技术和设备，降低能源消耗。加强能源消费总量和强度“双控”管理，严格控制能源消费总量和强度。加强能源统计和监测，提高能源管理水平。</w:t>
      </w:r>
    </w:p>
    <w:tbl>
      <w:tblPr>
        <w:tblStyle w:val="2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74"/>
      </w:tblGrid>
      <w:tr w14:paraId="0D6C54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jc w:val="center"/>
        </w:trPr>
        <w:tc>
          <w:tcPr>
            <w:tcW w:w="8674" w:type="dxa"/>
            <w:noWrap w:val="0"/>
            <w:vAlign w:val="center"/>
          </w:tcPr>
          <w:p w14:paraId="705EB44C">
            <w:pPr>
              <w:keepNext w:val="0"/>
              <w:keepLines w:val="0"/>
              <w:pageBreakBefore w:val="0"/>
              <w:widowControl w:val="0"/>
              <w:suppressLineNumbers w:val="0"/>
              <w:kinsoku/>
              <w:wordWrap/>
              <w:overflowPunct/>
              <w:topLinePunct w:val="0"/>
              <w:autoSpaceDE/>
              <w:autoSpaceDN/>
              <w:bidi w:val="0"/>
              <w:adjustRightInd w:val="0"/>
              <w:snapToGrid w:val="0"/>
              <w:spacing w:beforeAutospacing="0" w:afterAutospacing="0" w:line="400" w:lineRule="exact"/>
              <w:ind w:left="0" w:right="0" w:firstLine="0" w:firstLineChars="0"/>
              <w:jc w:val="center"/>
              <w:textAlignment w:val="auto"/>
              <w:rPr>
                <w:rFonts w:hint="default" w:ascii="Times New Roman" w:hAnsi="Times New Roman" w:eastAsia="仿宋" w:cs="Times New Roman"/>
                <w:color w:val="auto"/>
                <w:sz w:val="28"/>
                <w:szCs w:val="28"/>
                <w:highlight w:val="none"/>
                <w:u w:val="none"/>
                <w:shd w:val="clear" w:color="auto" w:fill="FFFFFF"/>
              </w:rPr>
            </w:pPr>
            <w:r>
              <w:rPr>
                <w:rFonts w:hint="eastAsia" w:ascii="楷体_GB2312" w:hAnsi="楷体_GB2312" w:eastAsia="楷体_GB2312" w:cs="楷体_GB2312"/>
                <w:b/>
                <w:bCs w:val="0"/>
                <w:color w:val="auto"/>
                <w:sz w:val="28"/>
                <w:szCs w:val="28"/>
                <w:highlight w:val="none"/>
                <w:u w:val="none"/>
                <w:shd w:val="clear" w:color="auto" w:fill="FFFFFF"/>
                <w:lang w:val="en-US" w:eastAsia="zh-CN"/>
              </w:rPr>
              <w:t>专栏9-3：“十五五”期间能源基础设施重点项目</w:t>
            </w:r>
          </w:p>
        </w:tc>
      </w:tr>
      <w:tr w14:paraId="6A688C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jc w:val="center"/>
        </w:trPr>
        <w:tc>
          <w:tcPr>
            <w:tcW w:w="8674" w:type="dxa"/>
            <w:noWrap w:val="0"/>
            <w:vAlign w:val="center"/>
          </w:tcPr>
          <w:p w14:paraId="5A496731">
            <w:pPr>
              <w:keepNext w:val="0"/>
              <w:keepLines w:val="0"/>
              <w:pageBreakBefore w:val="0"/>
              <w:widowControl w:val="0"/>
              <w:suppressLineNumbers w:val="0"/>
              <w:kinsoku/>
              <w:wordWrap/>
              <w:overflowPunct/>
              <w:topLinePunct w:val="0"/>
              <w:autoSpaceDE/>
              <w:autoSpaceDN/>
              <w:bidi w:val="0"/>
              <w:adjustRightInd w:val="0"/>
              <w:snapToGrid w:val="0"/>
              <w:spacing w:beforeAutospacing="0" w:afterAutospacing="0" w:line="400" w:lineRule="exact"/>
              <w:ind w:left="0" w:right="0" w:firstLine="562" w:firstLineChars="200"/>
              <w:jc w:val="both"/>
              <w:textAlignment w:val="auto"/>
              <w:rPr>
                <w:rFonts w:hint="eastAsia"/>
                <w:highlight w:val="none"/>
                <w:lang w:val="en-US" w:eastAsia="zh-CN"/>
              </w:rPr>
            </w:pPr>
            <w:r>
              <w:rPr>
                <w:rFonts w:hint="eastAsia" w:ascii="Times New Roman" w:hAnsi="Times New Roman" w:eastAsia="仿宋_GB2312" w:cs="Times New Roman"/>
                <w:b/>
                <w:bCs/>
                <w:color w:val="auto"/>
                <w:kern w:val="2"/>
                <w:sz w:val="28"/>
                <w:szCs w:val="28"/>
                <w:highlight w:val="none"/>
                <w:u w:val="none"/>
                <w:lang w:val="en-US" w:eastAsia="zh-CN" w:bidi="ar-SA"/>
              </w:rPr>
              <w:t>重点实施</w:t>
            </w:r>
            <w:r>
              <w:rPr>
                <w:rFonts w:hint="eastAsia" w:ascii="Times New Roman" w:hAnsi="Times New Roman" w:eastAsia="仿宋_GB2312" w:cs="Times New Roman"/>
                <w:b w:val="0"/>
                <w:bCs w:val="0"/>
                <w:color w:val="auto"/>
                <w:kern w:val="2"/>
                <w:sz w:val="28"/>
                <w:szCs w:val="28"/>
                <w:highlight w:val="none"/>
                <w:u w:val="none"/>
                <w:lang w:val="en-US" w:eastAsia="zh-CN" w:bidi="ar-SA"/>
              </w:rPr>
              <w:t>扶沟县燃气设施更新改造项目、</w:t>
            </w:r>
            <w:r>
              <w:rPr>
                <w:rFonts w:hint="eastAsia" w:ascii="Times New Roman" w:hAnsi="Times New Roman" w:eastAsia="仿宋_GB2312" w:cs="Times New Roman"/>
                <w:color w:val="auto"/>
                <w:kern w:val="2"/>
                <w:sz w:val="28"/>
                <w:szCs w:val="28"/>
                <w:highlight w:val="none"/>
                <w:u w:val="none"/>
                <w:lang w:val="en-US" w:eastAsia="zh-CN" w:bidi="ar-SA"/>
              </w:rPr>
              <w:t>扶沟县风电开发项目、扶沟县强电入地项目、河南周口扶沟桐丘220千伏变电站1号主变增容改造工程、河南周口扶沟鸿昌220千伏变电站第二台主变扩建工程、河南周口扶沟苏庄35kV输变电工程。</w:t>
            </w:r>
          </w:p>
        </w:tc>
      </w:tr>
    </w:tbl>
    <w:p w14:paraId="2B9229E9">
      <w:pPr>
        <w:keepNext/>
        <w:keepLines/>
        <w:pageBreakBefore w:val="0"/>
        <w:widowControl w:val="0"/>
        <w:numPr>
          <w:ilvl w:val="0"/>
          <w:numId w:val="0"/>
        </w:numPr>
        <w:kinsoku/>
        <w:wordWrap/>
        <w:overflowPunct/>
        <w:topLinePunct w:val="0"/>
        <w:autoSpaceDE/>
        <w:autoSpaceDN/>
        <w:bidi w:val="0"/>
        <w:adjustRightInd w:val="0"/>
        <w:snapToGrid w:val="0"/>
        <w:spacing w:before="541" w:beforeLines="150" w:after="156" w:afterLines="50" w:line="560" w:lineRule="exact"/>
        <w:ind w:leftChars="0"/>
        <w:jc w:val="center"/>
        <w:textAlignment w:val="auto"/>
        <w:outlineLvl w:val="2"/>
        <w:rPr>
          <w:rFonts w:hint="eastAsia" w:ascii="Times New Roman" w:hAnsi="Times New Roman" w:eastAsia="黑体" w:cs="Times New Roman"/>
          <w:b/>
          <w:bCs/>
          <w:color w:val="auto"/>
          <w:kern w:val="2"/>
          <w:sz w:val="32"/>
          <w:szCs w:val="32"/>
          <w:highlight w:val="none"/>
          <w:u w:val="none"/>
          <w:lang w:val="en-US" w:eastAsia="zh-CN" w:bidi="ar-SA"/>
        </w:rPr>
      </w:pPr>
      <w:bookmarkStart w:id="202" w:name="_Toc25127"/>
      <w:bookmarkStart w:id="203" w:name="_Toc19376"/>
      <w:bookmarkStart w:id="204" w:name="_Toc2222"/>
      <w:r>
        <w:rPr>
          <w:rFonts w:hint="eastAsia" w:ascii="Times New Roman" w:hAnsi="Times New Roman" w:eastAsia="黑体" w:cs="Times New Roman"/>
          <w:b/>
          <w:bCs/>
          <w:color w:val="auto"/>
          <w:kern w:val="2"/>
          <w:sz w:val="32"/>
          <w:szCs w:val="32"/>
          <w:highlight w:val="none"/>
          <w:u w:val="none"/>
          <w:lang w:val="en-US" w:eastAsia="zh-CN" w:bidi="ar-SA"/>
        </w:rPr>
        <w:t>第四节布局集约共享新型基建</w:t>
      </w:r>
      <w:bookmarkEnd w:id="202"/>
      <w:bookmarkEnd w:id="203"/>
      <w:bookmarkEnd w:id="204"/>
    </w:p>
    <w:p w14:paraId="7BE6EFE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Times New Roman" w:hAnsi="Times New Roman" w:eastAsia="仿宋_GB2312" w:cs="Times New Roman"/>
          <w:color w:val="auto"/>
          <w:kern w:val="2"/>
          <w:sz w:val="32"/>
          <w:szCs w:val="32"/>
          <w:highlight w:val="none"/>
          <w:u w:val="none"/>
          <w:lang w:val="en-US" w:eastAsia="zh-CN" w:bidi="ar"/>
        </w:rPr>
        <w:t>把握数字化、网络化、智能化发展趋势，加快6G、数据中心、物联网等新型基础设施建设，推动传统基础设施“数字赋能”，为数字经济发展、智慧城市建设奠定坚实基础。</w:t>
      </w:r>
    </w:p>
    <w:p w14:paraId="0B6B3ABB">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楷体_GB2312" w:hAnsi="楷体_GB2312" w:eastAsia="楷体_GB2312" w:cs="楷体_GB2312"/>
          <w:b/>
          <w:bCs/>
          <w:color w:val="auto"/>
          <w:kern w:val="2"/>
          <w:sz w:val="32"/>
          <w:szCs w:val="32"/>
          <w:highlight w:val="none"/>
          <w:u w:val="none"/>
          <w:lang w:val="en-US" w:eastAsia="zh-CN" w:bidi="ar-SA"/>
        </w:rPr>
        <w:t>加快新型基础设施建设。</w:t>
      </w:r>
      <w:r>
        <w:rPr>
          <w:rFonts w:hint="eastAsia" w:ascii="Times New Roman" w:hAnsi="Times New Roman" w:eastAsia="仿宋_GB2312" w:cs="Times New Roman"/>
          <w:color w:val="auto"/>
          <w:kern w:val="2"/>
          <w:sz w:val="32"/>
          <w:szCs w:val="32"/>
          <w:highlight w:val="none"/>
          <w:u w:val="none"/>
          <w:lang w:val="en-US" w:eastAsia="zh-CN" w:bidi="ar"/>
        </w:rPr>
        <w:t>以技术创新为引领，聚焦数字经济发展需求，统筹布局新型基础设施，推动数字资源优化配置，筑牢数字扶沟建设根基。持续优化网络基础设施。加速光纤网络扩容升级，优化骨干网络结构，推进5G+网络补盲增效，实现县城家庭千兆宽带、农村家庭百兆光纤全覆盖。规模化部署6G基站，重点在城区、开发区、重点乡镇及蔬菜产业园区等区域加密布局，新建一批6G基站，实现县域5G+信号全覆盖及重点场景深度覆盖。积极布局下一代互联网（IPv6），推动政务、工业、民生等重点领域IPv6规模化部署和应用，提升网络承载能力和服务质量。强化数据算力设施建设。依托县域产业发展需求，规划建设区域性数据中心，重点支撑蔬菜产业溯源、工业智能制造、政务服务协同等应用场景，提升数据存储、处理和算力支撑能力。搭建县域一体化大数据平台，整合政务、产业、民生等各类数据资源，建立标准统一、动态更新的数据资源库，实现跨部门、跨领域数据共享共用。积极对接省市算力网络，构建“云边端”协同的算力体系，满足县域数字经济发展算力需求。完善数字应用基础设施。聚焦蔬菜特色产业、汽车零部件制造、纺织印染等主导产业，建设工业互联网区域一体化公共服务平台，推动企业“上云用数赋智”。加快布局智能交通、智慧能源、智慧水利等新型基础设施，推进6G在农业生产、工业制造、城市治理等领域的深度应用，打造一批数字化应用示范场景。依托电商人才孵化基地，升级县域电子商务运营中心和仓储物流配送中心，完善县乡村三级物流配送体系，提升农村电商服务能力。</w:t>
      </w:r>
    </w:p>
    <w:p w14:paraId="12460796">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楷体_GB2312" w:hAnsi="楷体_GB2312" w:eastAsia="楷体_GB2312" w:cs="楷体_GB2312"/>
          <w:b/>
          <w:bCs/>
          <w:color w:val="auto"/>
          <w:kern w:val="2"/>
          <w:sz w:val="32"/>
          <w:szCs w:val="32"/>
          <w:highlight w:val="none"/>
          <w:u w:val="none"/>
          <w:lang w:val="en-US" w:eastAsia="zh-CN" w:bidi="ar-SA"/>
        </w:rPr>
        <w:t>推动传统基础设施数字化转型。</w:t>
      </w:r>
      <w:r>
        <w:rPr>
          <w:rFonts w:hint="eastAsia" w:ascii="Times New Roman" w:hAnsi="Times New Roman" w:eastAsia="仿宋_GB2312" w:cs="Times New Roman"/>
          <w:color w:val="auto"/>
          <w:kern w:val="2"/>
          <w:sz w:val="32"/>
          <w:szCs w:val="32"/>
          <w:highlight w:val="none"/>
          <w:u w:val="none"/>
          <w:lang w:val="en-US" w:eastAsia="zh-CN" w:bidi="ar"/>
        </w:rPr>
        <w:t>以“数字赋能、效率提升”为导向，推进交通、能源、水利等传统基础设施数字化改造，提高基础设施智能化水平。打造智慧交通体系，在城区主干道、高速出入口安装智能交通监控设备，推广“电子警察”系统，实现交通流量实时监测与信号动态调控；在公交车辆、客运车辆安装GPS定位与视频监控系统，提升公共交通服务质量。建设智慧水利工程，在贾鲁河、丰收河等河道安装水质监测传感器，实时监测水温、pH值、污染物浓度等指标；在农田灌溉区推广智能水表，实现用水量精准计量与远程控制，提升水资源利用效率。完善智慧城管系统，建设城市管理大数据平台，整合环卫、绿化、市政等管理数据，实现城市部件“一网统管”；推广“AI+城管”应用，实现违法建设、垃圾乱堆等问题自动识别与处置，提升城市精细化管理水平。推进城市生命线安全工程建设，将城市生命线安全工程纳入城市运行管理服务平台，实现对中心城区“三高”（高风险、高敏感、高后果）区域燃气、排水、桥梁、热力和供水的安全运行监测；不断拓展城市生命线安全工程应用场景，健全安全运行管理机制，巩固提升项目建设成效，全面提升城市安全风险防控和隐患排查治理能力。</w:t>
      </w:r>
    </w:p>
    <w:p w14:paraId="6E7EA147">
      <w:pPr>
        <w:keepNext w:val="0"/>
        <w:keepLines w:val="0"/>
        <w:pageBreakBefore w:val="0"/>
        <w:widowControl w:val="0"/>
        <w:kinsoku/>
        <w:wordWrap/>
        <w:overflowPunct/>
        <w:topLinePunct w:val="0"/>
        <w:autoSpaceDE/>
        <w:autoSpaceDN/>
        <w:bidi w:val="0"/>
        <w:adjustRightInd w:val="0"/>
        <w:snapToGrid w:val="0"/>
        <w:spacing w:after="721" w:afterLines="200" w:line="560" w:lineRule="exact"/>
        <w:ind w:firstLine="643"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楷体_GB2312" w:hAnsi="楷体_GB2312" w:eastAsia="楷体_GB2312" w:cs="楷体_GB2312"/>
          <w:b/>
          <w:bCs/>
          <w:color w:val="auto"/>
          <w:kern w:val="2"/>
          <w:sz w:val="32"/>
          <w:szCs w:val="32"/>
          <w:highlight w:val="none"/>
          <w:u w:val="none"/>
          <w:lang w:val="en-US" w:eastAsia="zh-CN" w:bidi="ar-SA"/>
        </w:rPr>
        <w:t>加强网络安全保障。</w:t>
      </w:r>
      <w:r>
        <w:rPr>
          <w:rFonts w:hint="eastAsia" w:ascii="Times New Roman" w:hAnsi="Times New Roman" w:eastAsia="仿宋_GB2312" w:cs="Times New Roman"/>
          <w:color w:val="auto"/>
          <w:kern w:val="2"/>
          <w:sz w:val="32"/>
          <w:szCs w:val="32"/>
          <w:highlight w:val="none"/>
          <w:u w:val="none"/>
          <w:lang w:val="en-US" w:eastAsia="zh-CN" w:bidi="ar"/>
        </w:rPr>
        <w:t>构建“技术防护+管理规范+应急响应”网络安全保障体系。在政务网络、工业互联网、关键信息系统等领域，部署防火墙、入侵检测、数据加密等安全设备，实现网络安全威胁实时监测与拦截；推进数据安全分级分类管理，对政务数据、企业数据、个人信息进行分级保护，防范数据泄露风险。建立数字基础设施安全管理制度，明确责任主体、运维标准、应急流程；加强网络安全宣传教育，提升企业、群众网络安全意识，营造“共建共治”的网络安全环境。</w:t>
      </w:r>
    </w:p>
    <w:tbl>
      <w:tblPr>
        <w:tblStyle w:val="2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74"/>
      </w:tblGrid>
      <w:tr w14:paraId="67531A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60" w:hRule="atLeast"/>
          <w:jc w:val="center"/>
        </w:trPr>
        <w:tc>
          <w:tcPr>
            <w:tcW w:w="8674" w:type="dxa"/>
            <w:noWrap w:val="0"/>
            <w:vAlign w:val="center"/>
          </w:tcPr>
          <w:p w14:paraId="72ECBEA6">
            <w:pPr>
              <w:keepNext w:val="0"/>
              <w:keepLines w:val="0"/>
              <w:pageBreakBefore w:val="0"/>
              <w:widowControl w:val="0"/>
              <w:suppressLineNumbers w:val="0"/>
              <w:kinsoku/>
              <w:wordWrap/>
              <w:overflowPunct/>
              <w:topLinePunct w:val="0"/>
              <w:autoSpaceDE/>
              <w:autoSpaceDN/>
              <w:bidi w:val="0"/>
              <w:adjustRightInd w:val="0"/>
              <w:snapToGrid w:val="0"/>
              <w:spacing w:beforeAutospacing="0" w:afterAutospacing="0" w:line="400" w:lineRule="exact"/>
              <w:ind w:left="0" w:right="0" w:firstLine="0" w:firstLineChars="0"/>
              <w:jc w:val="center"/>
              <w:textAlignment w:val="auto"/>
              <w:rPr>
                <w:rFonts w:hint="default" w:ascii="Times New Roman" w:hAnsi="Times New Roman" w:eastAsia="仿宋" w:cs="Times New Roman"/>
                <w:color w:val="auto"/>
                <w:sz w:val="28"/>
                <w:szCs w:val="28"/>
                <w:highlight w:val="none"/>
                <w:u w:val="none"/>
                <w:shd w:val="clear" w:color="auto" w:fill="FFFFFF"/>
              </w:rPr>
            </w:pPr>
            <w:r>
              <w:rPr>
                <w:rFonts w:hint="eastAsia" w:ascii="楷体_GB2312" w:hAnsi="楷体_GB2312" w:eastAsia="楷体_GB2312" w:cs="楷体_GB2312"/>
                <w:b/>
                <w:bCs w:val="0"/>
                <w:color w:val="auto"/>
                <w:sz w:val="28"/>
                <w:szCs w:val="28"/>
                <w:highlight w:val="none"/>
                <w:u w:val="none"/>
                <w:shd w:val="clear" w:color="auto" w:fill="FFFFFF"/>
                <w:lang w:val="en-US" w:eastAsia="zh-CN"/>
              </w:rPr>
              <w:t>专栏9-4：“十五五”期间数字基础设施重点项目</w:t>
            </w:r>
          </w:p>
        </w:tc>
      </w:tr>
      <w:tr w14:paraId="3733D4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jc w:val="center"/>
        </w:trPr>
        <w:tc>
          <w:tcPr>
            <w:tcW w:w="8674" w:type="dxa"/>
            <w:noWrap w:val="0"/>
            <w:vAlign w:val="center"/>
          </w:tcPr>
          <w:p w14:paraId="7DE6159A">
            <w:pPr>
              <w:keepNext w:val="0"/>
              <w:keepLines w:val="0"/>
              <w:pageBreakBefore w:val="0"/>
              <w:widowControl w:val="0"/>
              <w:suppressLineNumbers w:val="0"/>
              <w:kinsoku/>
              <w:wordWrap/>
              <w:overflowPunct/>
              <w:topLinePunct w:val="0"/>
              <w:autoSpaceDE/>
              <w:autoSpaceDN/>
              <w:bidi w:val="0"/>
              <w:adjustRightInd w:val="0"/>
              <w:snapToGrid w:val="0"/>
              <w:spacing w:beforeAutospacing="0" w:afterAutospacing="0" w:line="400" w:lineRule="exact"/>
              <w:ind w:left="0" w:right="0" w:firstLine="562" w:firstLineChars="200"/>
              <w:jc w:val="both"/>
              <w:textAlignment w:val="auto"/>
              <w:rPr>
                <w:rFonts w:hint="eastAsia"/>
                <w:highlight w:val="none"/>
                <w:lang w:val="en-US" w:eastAsia="zh-CN"/>
              </w:rPr>
            </w:pPr>
            <w:r>
              <w:rPr>
                <w:rFonts w:hint="eastAsia" w:ascii="Times New Roman" w:hAnsi="Times New Roman" w:eastAsia="仿宋_GB2312" w:cs="Times New Roman"/>
                <w:b/>
                <w:bCs/>
                <w:color w:val="auto"/>
                <w:kern w:val="2"/>
                <w:sz w:val="28"/>
                <w:szCs w:val="28"/>
                <w:highlight w:val="none"/>
                <w:u w:val="none"/>
                <w:lang w:val="en-US" w:eastAsia="zh-CN" w:bidi="ar-SA"/>
              </w:rPr>
              <w:t>重点实施</w:t>
            </w:r>
            <w:r>
              <w:rPr>
                <w:rFonts w:hint="eastAsia" w:ascii="Times New Roman" w:hAnsi="Times New Roman" w:eastAsia="仿宋_GB2312" w:cs="Times New Roman"/>
                <w:b w:val="0"/>
                <w:bCs w:val="0"/>
                <w:color w:val="auto"/>
                <w:kern w:val="2"/>
                <w:sz w:val="28"/>
                <w:szCs w:val="28"/>
                <w:highlight w:val="none"/>
                <w:u w:val="none"/>
                <w:lang w:val="en-US" w:eastAsia="zh-CN" w:bidi="ar-SA"/>
              </w:rPr>
              <w:t>扶沟县智慧城管信息一体化项目</w:t>
            </w:r>
            <w:r>
              <w:rPr>
                <w:rFonts w:hint="eastAsia" w:ascii="Times New Roman" w:hAnsi="Times New Roman" w:eastAsia="仿宋_GB2312" w:cs="Times New Roman"/>
                <w:color w:val="auto"/>
                <w:kern w:val="2"/>
                <w:sz w:val="28"/>
                <w:szCs w:val="28"/>
                <w:highlight w:val="none"/>
                <w:u w:val="none"/>
                <w:lang w:val="en-US" w:eastAsia="zh-CN" w:bidi="ar-SA"/>
              </w:rPr>
              <w:t>，扶沟县数字化算力中心建设项目，扶沟县公安局智能监控、电子警察、人像识别系统建设项目，扶沟县5G+智慧城市建设项目。</w:t>
            </w:r>
          </w:p>
        </w:tc>
      </w:tr>
    </w:tbl>
    <w:p w14:paraId="35D21837">
      <w:pPr>
        <w:keepNext/>
        <w:keepLines/>
        <w:pageBreakBefore w:val="0"/>
        <w:widowControl w:val="0"/>
        <w:numPr>
          <w:ilvl w:val="0"/>
          <w:numId w:val="0"/>
        </w:numPr>
        <w:kinsoku/>
        <w:wordWrap/>
        <w:overflowPunct/>
        <w:topLinePunct w:val="0"/>
        <w:autoSpaceDE/>
        <w:autoSpaceDN/>
        <w:bidi w:val="0"/>
        <w:adjustRightInd w:val="0"/>
        <w:snapToGrid w:val="0"/>
        <w:spacing w:before="1261" w:beforeLines="350" w:after="439" w:afterLines="100" w:line="560" w:lineRule="exact"/>
        <w:ind w:leftChars="0"/>
        <w:jc w:val="left"/>
        <w:textAlignment w:val="auto"/>
        <w:outlineLvl w:val="0"/>
        <w:rPr>
          <w:rFonts w:hint="eastAsia" w:ascii="Times New Roman" w:hAnsi="Times New Roman" w:eastAsia="方正小标宋_GBK" w:cs="Times New Roman"/>
          <w:b/>
          <w:color w:val="auto"/>
          <w:kern w:val="2"/>
          <w:sz w:val="36"/>
          <w:szCs w:val="36"/>
          <w:highlight w:val="none"/>
          <w:u w:val="none"/>
          <w:lang w:val="en-US" w:eastAsia="zh-CN" w:bidi="ar-SA"/>
        </w:rPr>
      </w:pPr>
      <w:bookmarkStart w:id="205" w:name="_Toc10921"/>
      <w:bookmarkStart w:id="206" w:name="_Toc12284"/>
      <w:r>
        <w:rPr>
          <w:rFonts w:hint="eastAsia" w:ascii="Times New Roman" w:hAnsi="Times New Roman" w:eastAsia="方正小标宋_GBK" w:cs="Times New Roman"/>
          <w:b/>
          <w:color w:val="auto"/>
          <w:kern w:val="2"/>
          <w:sz w:val="36"/>
          <w:szCs w:val="36"/>
          <w:highlight w:val="none"/>
          <w:u w:val="none"/>
          <w:lang w:val="en-US" w:eastAsia="zh-CN" w:bidi="ar-SA"/>
        </w:rPr>
        <w:t>板块四：对外开放和招商引资</w:t>
      </w:r>
      <w:bookmarkEnd w:id="205"/>
      <w:bookmarkEnd w:id="206"/>
    </w:p>
    <w:p w14:paraId="202447CE">
      <w:pPr>
        <w:keepNext/>
        <w:keepLines/>
        <w:pageBreakBefore w:val="0"/>
        <w:widowControl w:val="0"/>
        <w:numPr>
          <w:ilvl w:val="0"/>
          <w:numId w:val="0"/>
        </w:numPr>
        <w:kinsoku/>
        <w:wordWrap/>
        <w:overflowPunct/>
        <w:topLinePunct w:val="0"/>
        <w:autoSpaceDE/>
        <w:autoSpaceDN/>
        <w:bidi w:val="0"/>
        <w:adjustRightInd w:val="0"/>
        <w:snapToGrid w:val="0"/>
        <w:spacing w:before="541" w:beforeLines="150" w:after="439" w:afterLines="100" w:line="560" w:lineRule="exact"/>
        <w:ind w:leftChars="0"/>
        <w:jc w:val="center"/>
        <w:textAlignment w:val="auto"/>
        <w:outlineLvl w:val="1"/>
        <w:rPr>
          <w:rFonts w:hint="eastAsia" w:ascii="Times New Roman" w:hAnsi="Times New Roman" w:eastAsia="方正小标宋_GBK" w:cs="Times New Roman"/>
          <w:b/>
          <w:color w:val="auto"/>
          <w:kern w:val="2"/>
          <w:sz w:val="36"/>
          <w:szCs w:val="36"/>
          <w:highlight w:val="none"/>
          <w:u w:val="none"/>
          <w:lang w:val="en-US" w:eastAsia="zh-CN" w:bidi="ar-SA"/>
        </w:rPr>
      </w:pPr>
      <w:bookmarkStart w:id="207" w:name="_Toc13232"/>
      <w:bookmarkStart w:id="208" w:name="_Toc24672"/>
      <w:r>
        <w:rPr>
          <w:rFonts w:hint="eastAsia" w:ascii="Times New Roman" w:hAnsi="Times New Roman" w:eastAsia="方正小标宋_GBK" w:cs="Times New Roman"/>
          <w:b/>
          <w:color w:val="auto"/>
          <w:kern w:val="2"/>
          <w:sz w:val="36"/>
          <w:szCs w:val="36"/>
          <w:highlight w:val="none"/>
          <w:u w:val="none"/>
          <w:lang w:val="en-US" w:eastAsia="zh-CN" w:bidi="ar-SA"/>
        </w:rPr>
        <w:t>第十章畅通内外循环，全面融入全国统一大市场</w:t>
      </w:r>
      <w:bookmarkEnd w:id="192"/>
      <w:bookmarkEnd w:id="207"/>
      <w:bookmarkEnd w:id="208"/>
    </w:p>
    <w:p w14:paraId="720F54E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Times New Roman" w:hAnsi="Times New Roman" w:eastAsia="仿宋_GB2312" w:cs="Times New Roman"/>
          <w:color w:val="auto"/>
          <w:kern w:val="2"/>
          <w:sz w:val="32"/>
          <w:szCs w:val="32"/>
          <w:highlight w:val="none"/>
          <w:u w:val="none"/>
          <w:lang w:val="en-US" w:eastAsia="zh-CN" w:bidi="ar"/>
        </w:rPr>
        <w:t>立足新发展阶段，扶沟县需以畅通内外循环为核心抓手，深度融入全国统一大市场建设，通过激发市场主体活力、优化营商环境、提升开放能级、释放消费潜力、扩大有效投资、畅通要素流动，构建“内需引领、开放赋能、要素协同”的发展新格局，为高质量建设现代化美好扶沟注入强劲动力。</w:t>
      </w:r>
    </w:p>
    <w:p w14:paraId="7B5D1D15">
      <w:pPr>
        <w:keepNext/>
        <w:keepLines/>
        <w:pageBreakBefore w:val="0"/>
        <w:widowControl w:val="0"/>
        <w:numPr>
          <w:ilvl w:val="0"/>
          <w:numId w:val="0"/>
        </w:numPr>
        <w:kinsoku/>
        <w:wordWrap/>
        <w:overflowPunct/>
        <w:topLinePunct w:val="0"/>
        <w:autoSpaceDE/>
        <w:autoSpaceDN/>
        <w:bidi w:val="0"/>
        <w:adjustRightInd w:val="0"/>
        <w:snapToGrid w:val="0"/>
        <w:spacing w:before="156" w:beforeLines="50" w:after="156" w:afterLines="50" w:line="560" w:lineRule="exact"/>
        <w:ind w:leftChars="0"/>
        <w:jc w:val="center"/>
        <w:textAlignment w:val="auto"/>
        <w:outlineLvl w:val="2"/>
        <w:rPr>
          <w:rFonts w:hint="eastAsia" w:ascii="Times New Roman" w:hAnsi="Times New Roman" w:eastAsia="黑体" w:cs="Times New Roman"/>
          <w:b/>
          <w:bCs/>
          <w:color w:val="auto"/>
          <w:kern w:val="2"/>
          <w:sz w:val="32"/>
          <w:szCs w:val="32"/>
          <w:highlight w:val="none"/>
          <w:u w:val="none"/>
          <w:lang w:val="en-US" w:eastAsia="zh-CN" w:bidi="ar-SA"/>
        </w:rPr>
      </w:pPr>
      <w:bookmarkStart w:id="209" w:name="_Toc22971"/>
      <w:bookmarkStart w:id="210" w:name="_Toc6462"/>
      <w:bookmarkStart w:id="211" w:name="_Toc11304"/>
      <w:r>
        <w:rPr>
          <w:rFonts w:hint="eastAsia" w:ascii="Times New Roman" w:hAnsi="Times New Roman" w:eastAsia="黑体" w:cs="Times New Roman"/>
          <w:b/>
          <w:bCs/>
          <w:color w:val="auto"/>
          <w:kern w:val="2"/>
          <w:sz w:val="32"/>
          <w:szCs w:val="32"/>
          <w:highlight w:val="none"/>
          <w:u w:val="none"/>
          <w:lang w:val="en-US" w:eastAsia="zh-CN" w:bidi="ar-SA"/>
        </w:rPr>
        <w:t>第一节激发各类市场主体活力</w:t>
      </w:r>
      <w:bookmarkEnd w:id="209"/>
      <w:bookmarkEnd w:id="210"/>
      <w:bookmarkEnd w:id="211"/>
    </w:p>
    <w:p w14:paraId="7670E0B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Times New Roman" w:hAnsi="Times New Roman" w:eastAsia="仿宋_GB2312" w:cs="Times New Roman"/>
          <w:color w:val="auto"/>
          <w:kern w:val="2"/>
          <w:sz w:val="32"/>
          <w:szCs w:val="32"/>
          <w:highlight w:val="none"/>
          <w:u w:val="none"/>
          <w:lang w:val="en-US" w:eastAsia="zh-CN" w:bidi="ar"/>
        </w:rPr>
        <w:t>市场主体是经济循环的核心载体，坚持“两个毫不动摇”，推动各类经营主体蓬勃发展，形成“大企业顶天立地、中小企业铺天盖地、新主体不断涌现”的生动局面。</w:t>
      </w:r>
    </w:p>
    <w:p w14:paraId="048FD502">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楷体_GB2312" w:hAnsi="楷体_GB2312" w:eastAsia="楷体_GB2312" w:cs="楷体_GB2312"/>
          <w:b/>
          <w:bCs/>
          <w:color w:val="auto"/>
          <w:kern w:val="2"/>
          <w:sz w:val="32"/>
          <w:szCs w:val="32"/>
          <w:u w:val="none"/>
          <w:lang w:val="en-US" w:eastAsia="zh-CN" w:bidi="ar-SA"/>
        </w:rPr>
        <w:t>壮大民营经济发展能级。</w:t>
      </w:r>
      <w:r>
        <w:rPr>
          <w:rFonts w:hint="eastAsia" w:ascii="Times New Roman" w:hAnsi="Times New Roman" w:eastAsia="仿宋_GB2312" w:cs="Times New Roman"/>
          <w:color w:val="auto"/>
          <w:kern w:val="2"/>
          <w:sz w:val="32"/>
          <w:szCs w:val="32"/>
          <w:highlight w:val="none"/>
          <w:u w:val="none"/>
          <w:lang w:val="en-US" w:eastAsia="zh-CN" w:bidi="ar"/>
        </w:rPr>
        <w:t>深化落实民营经济发展壮大政策，破除行业准入壁垒，在蔬菜精深加工、装备制造、冷链物流等领域推出10个公平竞争试点项目，支持民营资本参与智能温室集群、扶沟县农产品冷链综合物流园等重点项目建设。建立“民营企业家直通车”机制，每季度召开政企座谈会，动态解决企业用地、融资、人才等诉求，“十五五”期间为蔬菜加工、智能制造、纺织服装企业解决融资需求超15亿元。实施“专精特新”梯度培育计划，聚焦汽车零部件细分领域，到2030年，新培育国家级“小巨人”企业1家、省级“专精特新”企业20家、创新型中小企业40家，打造金泰金属、禾瑞光电等一批细分领域“单项冠军”。支持本土龙头企业延链补链，推动水天服装拓展海澜之家供应链、维俏科技深化比亚迪配套合作，带动50家以上中小微企业协同发展。</w:t>
      </w:r>
    </w:p>
    <w:p w14:paraId="7B6466BD">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楷体_GB2312" w:hAnsi="楷体_GB2312" w:eastAsia="楷体_GB2312" w:cs="楷体_GB2312"/>
          <w:b/>
          <w:bCs/>
          <w:color w:val="auto"/>
          <w:kern w:val="2"/>
          <w:sz w:val="32"/>
          <w:szCs w:val="32"/>
          <w:highlight w:val="none"/>
          <w:u w:val="none"/>
          <w:lang w:val="en-US" w:eastAsia="zh-CN" w:bidi="ar-SA"/>
        </w:rPr>
        <w:t>推动国有企业改革提质。</w:t>
      </w:r>
      <w:r>
        <w:rPr>
          <w:rFonts w:hint="eastAsia" w:ascii="Times New Roman" w:hAnsi="Times New Roman" w:eastAsia="仿宋_GB2312" w:cs="Times New Roman"/>
          <w:color w:val="auto"/>
          <w:kern w:val="2"/>
          <w:sz w:val="32"/>
          <w:szCs w:val="32"/>
          <w:highlight w:val="none"/>
          <w:u w:val="none"/>
          <w:lang w:val="en-US" w:eastAsia="zh-CN" w:bidi="ar"/>
        </w:rPr>
        <w:t>深化县属国企市场化转型，聚焦“产业投资、城市更新、乡村振兴”三大主业，优化国控投资有限公司、发展投资集团业务布局，推动国有资本向蔬菜全产业链、新型城镇化领域集中。建立国企负责人绩效考核与产业培育成效挂钩机制，将蔬菜产业园建设、贾鲁河通航配套等任务纳入考核，鼓励国企通过“以投代招”引入战新产业企业。到2030年，实现县属国企资产收益逐年增长，培育1家覆盖蔬菜精加工、销售、冷链物流的国有产业运营平台，带动社会资本投入超50亿元。</w:t>
      </w:r>
    </w:p>
    <w:p w14:paraId="11DDA769">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楷体_GB2312" w:hAnsi="楷体_GB2312" w:eastAsia="楷体_GB2312" w:cs="楷体_GB2312"/>
          <w:b/>
          <w:bCs/>
          <w:color w:val="auto"/>
          <w:kern w:val="2"/>
          <w:sz w:val="32"/>
          <w:szCs w:val="32"/>
          <w:highlight w:val="none"/>
          <w:u w:val="none"/>
          <w:lang w:val="en-US" w:eastAsia="zh-CN" w:bidi="ar-SA"/>
        </w:rPr>
        <w:t>培育新兴市场主体生态。</w:t>
      </w:r>
      <w:r>
        <w:rPr>
          <w:rFonts w:hint="eastAsia" w:ascii="Times New Roman" w:hAnsi="Times New Roman" w:eastAsia="仿宋_GB2312" w:cs="Times New Roman"/>
          <w:color w:val="auto"/>
          <w:kern w:val="2"/>
          <w:sz w:val="32"/>
          <w:szCs w:val="32"/>
          <w:highlight w:val="none"/>
          <w:u w:val="none"/>
          <w:lang w:val="en-US" w:eastAsia="zh-CN" w:bidi="ar"/>
        </w:rPr>
        <w:t>强化直播电商、银发经济等业态发展，建立“新个体经济”培育孵化基地，为带货主播、创意团队等提供注册登记、税务咨询、技能培训等“一站式”服务。优化个体工商户转企业、小微企业升规上限的政策衔接，简化审批流程，给与3年过渡期政策优惠。到2030年，全县市场主体总量突破7万户，新增“四上”企业年均增长12%以上，形成“初创-成长-成熟”的全生命周期培育体系。</w:t>
      </w:r>
    </w:p>
    <w:p w14:paraId="689F711B">
      <w:pPr>
        <w:keepNext/>
        <w:keepLines/>
        <w:pageBreakBefore w:val="0"/>
        <w:widowControl w:val="0"/>
        <w:numPr>
          <w:ilvl w:val="0"/>
          <w:numId w:val="0"/>
        </w:numPr>
        <w:kinsoku/>
        <w:wordWrap/>
        <w:overflowPunct/>
        <w:topLinePunct w:val="0"/>
        <w:autoSpaceDE/>
        <w:autoSpaceDN/>
        <w:bidi w:val="0"/>
        <w:adjustRightInd w:val="0"/>
        <w:snapToGrid w:val="0"/>
        <w:spacing w:before="156" w:beforeLines="50" w:after="156" w:afterLines="50" w:line="560" w:lineRule="exact"/>
        <w:ind w:leftChars="0"/>
        <w:jc w:val="center"/>
        <w:textAlignment w:val="auto"/>
        <w:outlineLvl w:val="2"/>
        <w:rPr>
          <w:rFonts w:hint="eastAsia" w:ascii="Times New Roman" w:hAnsi="Times New Roman" w:eastAsia="黑体" w:cs="Times New Roman"/>
          <w:b/>
          <w:bCs/>
          <w:color w:val="auto"/>
          <w:kern w:val="2"/>
          <w:sz w:val="32"/>
          <w:szCs w:val="32"/>
          <w:highlight w:val="none"/>
          <w:u w:val="none"/>
          <w:lang w:val="en-US" w:eastAsia="zh-CN" w:bidi="ar-SA"/>
        </w:rPr>
      </w:pPr>
      <w:bookmarkStart w:id="212" w:name="_Toc19304"/>
      <w:bookmarkStart w:id="213" w:name="_Toc2422"/>
      <w:bookmarkStart w:id="214" w:name="_Toc31768"/>
      <w:r>
        <w:rPr>
          <w:rFonts w:hint="eastAsia" w:ascii="Times New Roman" w:hAnsi="Times New Roman" w:eastAsia="黑体" w:cs="Times New Roman"/>
          <w:b/>
          <w:bCs/>
          <w:color w:val="auto"/>
          <w:kern w:val="2"/>
          <w:sz w:val="32"/>
          <w:szCs w:val="32"/>
          <w:highlight w:val="none"/>
          <w:u w:val="none"/>
          <w:lang w:val="en-US" w:eastAsia="zh-CN" w:bidi="ar-SA"/>
        </w:rPr>
        <w:t>第二节建设一流营商环境</w:t>
      </w:r>
      <w:bookmarkEnd w:id="212"/>
      <w:bookmarkEnd w:id="213"/>
      <w:bookmarkEnd w:id="214"/>
    </w:p>
    <w:p w14:paraId="30437CA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Times New Roman" w:hAnsi="Times New Roman" w:eastAsia="仿宋_GB2312" w:cs="Times New Roman"/>
          <w:color w:val="auto"/>
          <w:kern w:val="2"/>
          <w:sz w:val="32"/>
          <w:szCs w:val="32"/>
          <w:highlight w:val="none"/>
          <w:u w:val="none"/>
          <w:lang w:val="en-US" w:eastAsia="zh-CN" w:bidi="ar"/>
        </w:rPr>
        <w:t>聚焦经营主体全生命周期需求，对标先进地区水平，进一步提高服务水平，激发经营主体活力，努力营造便捷高效的政务环境、公平公正的市场环境、稳定透明规范可预期的法治环境，推动经营主体获得感、满意度显著增强，形成具有扶沟特色的营商环境竞争优势，为现代化扶沟建设注入强劲动能。</w:t>
      </w:r>
    </w:p>
    <w:p w14:paraId="142E5DB2">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楷体_GB2312" w:hAnsi="楷体_GB2312" w:eastAsia="楷体_GB2312" w:cs="楷体_GB2312"/>
          <w:b/>
          <w:bCs/>
          <w:color w:val="auto"/>
          <w:kern w:val="2"/>
          <w:sz w:val="32"/>
          <w:szCs w:val="32"/>
          <w:u w:val="none"/>
          <w:lang w:val="en-US" w:eastAsia="zh-CN" w:bidi="ar-SA"/>
        </w:rPr>
        <w:t>推进政务服务高效化。</w:t>
      </w:r>
      <w:r>
        <w:rPr>
          <w:rFonts w:hint="eastAsia" w:ascii="Times New Roman" w:hAnsi="Times New Roman" w:eastAsia="仿宋_GB2312" w:cs="Times New Roman"/>
          <w:color w:val="auto"/>
          <w:kern w:val="2"/>
          <w:sz w:val="32"/>
          <w:szCs w:val="32"/>
          <w:highlight w:val="none"/>
          <w:u w:val="none"/>
          <w:lang w:val="en-US" w:eastAsia="zh-CN" w:bidi="ar"/>
        </w:rPr>
        <w:t>扩展智能AI场景应用，探索“政务服务+AI”与“高效办成一件事”“全豫通办”“跨省通办”等重点服务政策深度衔接，依托智能算法精准匹配群众个性化政策需求。扎实推进“一件事一次办”改革。持续梳理更多政务服务事项，实现集成服务，到2030年，按照“成熟一批、发布一批”的原则，实现清单内重点事项全面落地实施，按时办结率保持98%以上，线上办件率提升至70%以上。强化12345热线“总客服作用”，提升热线咨询解答能力，持续推动“热线+督查”工作机制落地见效，完善热线知识库，发挥热线辅政作用，实现一次办结率稳定在99%以上。</w:t>
      </w:r>
    </w:p>
    <w:p w14:paraId="1CF4F392">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楷体_GB2312" w:hAnsi="楷体_GB2312" w:eastAsia="楷体_GB2312" w:cs="楷体_GB2312"/>
          <w:b/>
          <w:bCs/>
          <w:color w:val="auto"/>
          <w:kern w:val="2"/>
          <w:sz w:val="32"/>
          <w:szCs w:val="32"/>
          <w:u w:val="none"/>
          <w:lang w:val="en-US" w:eastAsia="zh-CN" w:bidi="ar-SA"/>
        </w:rPr>
        <w:t>强化法治环境公平化。</w:t>
      </w:r>
      <w:r>
        <w:rPr>
          <w:rFonts w:hint="eastAsia" w:ascii="Times New Roman" w:hAnsi="Times New Roman" w:eastAsia="仿宋_GB2312" w:cs="Times New Roman"/>
          <w:color w:val="auto"/>
          <w:kern w:val="2"/>
          <w:sz w:val="32"/>
          <w:szCs w:val="32"/>
          <w:highlight w:val="none"/>
          <w:u w:val="none"/>
          <w:lang w:val="en-US" w:eastAsia="zh-CN" w:bidi="ar"/>
        </w:rPr>
        <w:t>规范涉企执法行为，严格行政检查标准、程序，整治趋利性执法以及乱罚款、乱检查、乱查封等问题。推行包容审慎监管执法，全面落实行政执法“四张清单”制度，依法实行轻微免罚、首违不罚，纠治小错重罚、多头处罚。加强知识产权保护，为“扶沟西瓜”“扶沟辣椒”等地理标志产品提供侵权预警专利导航服务，到2030年，全县蔬菜产业相关专利拥有量达到30项。提升涉企法律服务能力，多元化解企业民事纠纷，打造集约高效、便民利民、智慧精准的一站式多元解纷、诉讼服务体系。</w:t>
      </w:r>
    </w:p>
    <w:p w14:paraId="7230250E">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楷体_GB2312" w:hAnsi="楷体_GB2312" w:eastAsia="楷体_GB2312" w:cs="楷体_GB2312"/>
          <w:b/>
          <w:bCs/>
          <w:sz w:val="32"/>
          <w:szCs w:val="32"/>
          <w:u w:val="none"/>
          <w:lang w:val="en-US" w:eastAsia="zh-CN"/>
        </w:rPr>
        <w:t>推动市场环境透明化。</w:t>
      </w:r>
      <w:r>
        <w:rPr>
          <w:rFonts w:hint="eastAsia" w:ascii="仿宋_GB2312" w:hAnsi="仿宋_GB2312" w:eastAsia="仿宋_GB2312" w:cs="仿宋_GB2312"/>
          <w:sz w:val="32"/>
          <w:szCs w:val="32"/>
          <w:u w:val="none"/>
          <w:lang w:val="en-US" w:eastAsia="zh-CN"/>
        </w:rPr>
        <w:t>严格落实“全国一张清单”管理模式，清理整治违规设置市场准入壁垒的各类不合理规定和做法。落实公平竞争审查制度，加强反垄断和反不正当竞争执法，依法规制破坏公平竞争、扰乱市场秩序等行为。畅通投诉举报渠道，整合12315、政务服务热线、微信公众号等平台，优化投诉处理流程，建立“受理-核查-反馈-督办-回访”闭环机制，提升群众诉求解决质效。</w:t>
      </w:r>
      <w:r>
        <w:rPr>
          <w:rFonts w:hint="eastAsia" w:ascii="Times New Roman" w:hAnsi="Times New Roman" w:eastAsia="仿宋_GB2312" w:cs="Times New Roman"/>
          <w:color w:val="auto"/>
          <w:kern w:val="2"/>
          <w:sz w:val="32"/>
          <w:szCs w:val="32"/>
          <w:highlight w:val="none"/>
          <w:u w:val="none"/>
          <w:lang w:val="en-US" w:eastAsia="zh-CN" w:bidi="ar"/>
        </w:rPr>
        <w:t>。</w:t>
      </w:r>
    </w:p>
    <w:p w14:paraId="14AFBCE2">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楷体_GB2312" w:hAnsi="楷体_GB2312" w:eastAsia="楷体_GB2312" w:cs="楷体_GB2312"/>
          <w:b/>
          <w:bCs/>
          <w:color w:val="auto"/>
          <w:kern w:val="2"/>
          <w:sz w:val="32"/>
          <w:szCs w:val="32"/>
          <w:u w:val="none"/>
          <w:lang w:val="en-US" w:eastAsia="zh-CN" w:bidi="ar-SA"/>
        </w:rPr>
        <w:t>提升要素保障精准化。</w:t>
      </w:r>
      <w:r>
        <w:rPr>
          <w:rFonts w:hint="eastAsia" w:ascii="Times New Roman" w:hAnsi="Times New Roman" w:eastAsia="仿宋_GB2312" w:cs="Times New Roman"/>
          <w:color w:val="auto"/>
          <w:kern w:val="2"/>
          <w:sz w:val="32"/>
          <w:szCs w:val="32"/>
          <w:highlight w:val="none"/>
          <w:u w:val="none"/>
          <w:lang w:val="en-US" w:eastAsia="zh-CN" w:bidi="ar"/>
        </w:rPr>
        <w:t>建立“要素跟着项目走”机制，优先保障重点产业项目用地需求，推行“标准地+弹性年限”出让模式，到2030年，盘活低效工业用地、闲置厂房等资源1500亩以上。扩大中小微企业融资覆盖面，引导金融机构持续深入开展“千企万户大走访”活动，精准对接市场主体需求。提升金融服务能力，重点支持高端制造业、绿色产业、数字经济、蔬菜冷链等领域融资。提升人才供给服务能力，持续深化“人人持证、技能河南”建设，聚焦产业需求，开展订单式技能培训。建立企业用工需求动态清单，精准解决用工难题。</w:t>
      </w:r>
    </w:p>
    <w:p w14:paraId="4C276A7E">
      <w:pPr>
        <w:keepNext/>
        <w:keepLines/>
        <w:pageBreakBefore w:val="0"/>
        <w:widowControl w:val="0"/>
        <w:numPr>
          <w:ilvl w:val="0"/>
          <w:numId w:val="0"/>
        </w:numPr>
        <w:kinsoku/>
        <w:wordWrap/>
        <w:overflowPunct/>
        <w:topLinePunct w:val="0"/>
        <w:autoSpaceDE/>
        <w:autoSpaceDN/>
        <w:bidi w:val="0"/>
        <w:adjustRightInd w:val="0"/>
        <w:snapToGrid w:val="0"/>
        <w:spacing w:before="156" w:beforeLines="50" w:after="156" w:afterLines="50" w:line="560" w:lineRule="exact"/>
        <w:ind w:leftChars="0"/>
        <w:jc w:val="center"/>
        <w:textAlignment w:val="auto"/>
        <w:outlineLvl w:val="2"/>
      </w:pPr>
      <w:bookmarkStart w:id="215" w:name="_Toc5473"/>
      <w:bookmarkStart w:id="216" w:name="_Toc5420"/>
      <w:bookmarkStart w:id="217" w:name="_Toc15748"/>
      <w:r>
        <w:rPr>
          <w:rFonts w:hint="eastAsia" w:ascii="Times New Roman" w:hAnsi="Times New Roman" w:eastAsia="黑体" w:cs="Times New Roman"/>
          <w:b/>
          <w:bCs/>
          <w:color w:val="auto"/>
          <w:kern w:val="2"/>
          <w:sz w:val="32"/>
          <w:szCs w:val="32"/>
          <w:highlight w:val="none"/>
          <w:u w:val="none"/>
          <w:lang w:val="en-US" w:eastAsia="zh-CN" w:bidi="ar-SA"/>
        </w:rPr>
        <w:t>第三节打造对外开放新高地</w:t>
      </w:r>
      <w:bookmarkEnd w:id="215"/>
      <w:bookmarkEnd w:id="216"/>
      <w:bookmarkEnd w:id="217"/>
    </w:p>
    <w:p w14:paraId="555BD16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Times New Roman" w:hAnsi="Times New Roman" w:eastAsia="仿宋_GB2312" w:cs="Times New Roman"/>
          <w:color w:val="auto"/>
          <w:kern w:val="2"/>
          <w:sz w:val="32"/>
          <w:szCs w:val="32"/>
          <w:highlight w:val="none"/>
          <w:u w:val="none"/>
          <w:lang w:val="en-US" w:eastAsia="zh-CN" w:bidi="ar"/>
        </w:rPr>
        <w:t>立足打造郑州都市圈东向门户，以郑合高铁、贾鲁河通航为纽带，构建“通道+平台+产业+合作”四位一体开放体系，提升对接长三角、融入郑州都市圈的开放能级。</w:t>
      </w:r>
    </w:p>
    <w:p w14:paraId="3A14308A">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楷体_GB2312" w:hAnsi="楷体_GB2312" w:eastAsia="楷体_GB2312" w:cs="楷体_GB2312"/>
          <w:b/>
          <w:bCs/>
          <w:color w:val="auto"/>
          <w:kern w:val="2"/>
          <w:sz w:val="32"/>
          <w:szCs w:val="32"/>
          <w:u w:val="none"/>
          <w:lang w:val="en-US" w:eastAsia="zh-CN" w:bidi="ar-SA"/>
        </w:rPr>
        <w:t>构建多维度开放通道。</w:t>
      </w:r>
      <w:r>
        <w:rPr>
          <w:rFonts w:hint="eastAsia" w:ascii="Times New Roman" w:hAnsi="Times New Roman" w:eastAsia="仿宋_GB2312" w:cs="Times New Roman"/>
          <w:color w:val="auto"/>
          <w:kern w:val="2"/>
          <w:sz w:val="32"/>
          <w:szCs w:val="32"/>
          <w:highlight w:val="none"/>
          <w:u w:val="none"/>
          <w:lang w:val="en-US" w:eastAsia="zh-CN" w:bidi="ar"/>
        </w:rPr>
        <w:t>深化公铁水联运协作，借力贾鲁河综合治理与航运复兴项目，统筹推进扶沟通航及配套现代物流园建设，完善区域内河航运网络，发展“铁路+蔬菜冷链”“水运+汽车零部件+纺织服装”物流模式。开通扶沟至郑州航空港直达货运专线，支持金泰金属、禾瑞光电等企业通过航空物流拓展长三角、珠三角市场。到2030年，实现跨境电商交易额年均增长10%以上，培育3家年进出口额超1亿元的外贸龙头企业。</w:t>
      </w:r>
    </w:p>
    <w:p w14:paraId="11B461C3">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楷体_GB2312" w:hAnsi="楷体_GB2312" w:eastAsia="楷体_GB2312" w:cs="楷体_GB2312"/>
          <w:b/>
          <w:bCs/>
          <w:color w:val="auto"/>
          <w:kern w:val="2"/>
          <w:sz w:val="32"/>
          <w:szCs w:val="32"/>
          <w:u w:val="none"/>
          <w:lang w:val="en-US" w:eastAsia="zh-CN" w:bidi="ar-SA"/>
        </w:rPr>
        <w:t>打造高能级开放平台。</w:t>
      </w:r>
      <w:r>
        <w:rPr>
          <w:rFonts w:hint="eastAsia" w:ascii="Times New Roman" w:hAnsi="Times New Roman" w:eastAsia="仿宋_GB2312" w:cs="Times New Roman"/>
          <w:color w:val="auto"/>
          <w:kern w:val="2"/>
          <w:sz w:val="32"/>
          <w:szCs w:val="32"/>
          <w:highlight w:val="none"/>
          <w:u w:val="none"/>
          <w:lang w:val="en-US" w:eastAsia="zh-CN" w:bidi="ar"/>
        </w:rPr>
        <w:t>提升开发区承载能力，实施开发区“二次创业”工程，“十五五”期间投入10亿元完善基础设施，建成开发区二期热力管网、污水处理厂等配套设施，推动开发区创建省级高新技术产业开发区。建设特色开放平台，依托绿业元会展中心平台优势，聚集我县汽车零部件、纺织服装、蔬菜产业，每年策划举办高质量产业推介会不少于5场，吸引国内外客商参会，提升区域产业知名度与核心竞争力；建设跨境电商综合服务平台，培育10家以上跨境电商企业，推动扶沟纺织服装、鞋类产品通过跨境电商平台拓宽出口渠道。加强科技创新平台建设，与河南工程学院、省农科院等高校科研院所共建研发中心，“十五五”期间建设省级工程技术研究中心10家、市级研发平台80家，推动产学研深度融合。</w:t>
      </w:r>
    </w:p>
    <w:p w14:paraId="4118C6DF">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楷体_GB2312" w:hAnsi="楷体_GB2312" w:eastAsia="楷体_GB2312" w:cs="楷体_GB2312"/>
          <w:b/>
          <w:bCs/>
          <w:color w:val="auto"/>
          <w:kern w:val="2"/>
          <w:sz w:val="32"/>
          <w:szCs w:val="32"/>
          <w:u w:val="none"/>
          <w:lang w:val="en-US" w:eastAsia="zh-CN" w:bidi="ar-SA"/>
        </w:rPr>
        <w:t>拓展深层次开放合作。</w:t>
      </w:r>
      <w:r>
        <w:rPr>
          <w:rFonts w:hint="eastAsia" w:ascii="Times New Roman" w:hAnsi="Times New Roman" w:eastAsia="仿宋_GB2312" w:cs="Times New Roman"/>
          <w:color w:val="auto"/>
          <w:kern w:val="2"/>
          <w:sz w:val="32"/>
          <w:szCs w:val="32"/>
          <w:highlight w:val="none"/>
          <w:u w:val="none"/>
          <w:lang w:val="en-US" w:eastAsia="zh-CN" w:bidi="ar"/>
        </w:rPr>
        <w:t>深度融入“一带一路”建设，组织企业积极参与中国（河南）国际投资贸易洽谈会、全球豫商大会等重大经贸活动，用好进博会、链博会、服贸会、广交会等国内展会资源，叫响“投资扶沟”品牌。鼓励引导外贸企业参加境外国际性展会，积极开拓国际市场。深化与郑州都市圈产业协作，建立“飞地经济”合作机制，在郑州航空港设立“扶沟智造飞地”，承接汽车零部件配套产业转移。到2030年，实现境外资金年均引进500万美元以上，形成“内外联动、双向互济”的开放格局。</w:t>
      </w:r>
    </w:p>
    <w:p w14:paraId="58A00E8E">
      <w:pPr>
        <w:keepNext/>
        <w:keepLines/>
        <w:pageBreakBefore w:val="0"/>
        <w:widowControl w:val="0"/>
        <w:numPr>
          <w:ilvl w:val="0"/>
          <w:numId w:val="0"/>
        </w:numPr>
        <w:kinsoku/>
        <w:wordWrap/>
        <w:overflowPunct/>
        <w:topLinePunct w:val="0"/>
        <w:autoSpaceDE/>
        <w:autoSpaceDN/>
        <w:bidi w:val="0"/>
        <w:adjustRightInd w:val="0"/>
        <w:snapToGrid w:val="0"/>
        <w:spacing w:before="156" w:beforeLines="50" w:after="156" w:afterLines="50" w:line="560" w:lineRule="exact"/>
        <w:ind w:leftChars="0"/>
        <w:jc w:val="center"/>
        <w:textAlignment w:val="auto"/>
        <w:outlineLvl w:val="2"/>
        <w:rPr>
          <w:rFonts w:hint="eastAsia" w:ascii="Times New Roman" w:hAnsi="Times New Roman" w:eastAsia="黑体" w:cs="Times New Roman"/>
          <w:b/>
          <w:bCs/>
          <w:color w:val="auto"/>
          <w:kern w:val="2"/>
          <w:sz w:val="32"/>
          <w:szCs w:val="32"/>
          <w:highlight w:val="none"/>
          <w:u w:val="none"/>
          <w:lang w:val="en-US" w:eastAsia="zh-CN" w:bidi="ar-SA"/>
        </w:rPr>
      </w:pPr>
      <w:bookmarkStart w:id="218" w:name="_Toc21417"/>
      <w:bookmarkStart w:id="219" w:name="_Toc26872"/>
      <w:bookmarkStart w:id="220" w:name="_Toc15140"/>
      <w:r>
        <w:rPr>
          <w:rFonts w:hint="eastAsia" w:ascii="Times New Roman" w:hAnsi="Times New Roman" w:eastAsia="黑体" w:cs="Times New Roman"/>
          <w:b/>
          <w:bCs/>
          <w:color w:val="auto"/>
          <w:kern w:val="2"/>
          <w:sz w:val="32"/>
          <w:szCs w:val="32"/>
          <w:highlight w:val="none"/>
          <w:u w:val="none"/>
          <w:lang w:val="en-US" w:eastAsia="zh-CN" w:bidi="ar-SA"/>
        </w:rPr>
        <w:t>第四节有效激发消费潜力</w:t>
      </w:r>
      <w:bookmarkEnd w:id="218"/>
      <w:bookmarkEnd w:id="219"/>
      <w:bookmarkEnd w:id="220"/>
    </w:p>
    <w:p w14:paraId="0313FE7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Times New Roman" w:hAnsi="Times New Roman" w:eastAsia="仿宋_GB2312" w:cs="Times New Roman"/>
          <w:color w:val="auto"/>
          <w:kern w:val="2"/>
          <w:sz w:val="32"/>
          <w:szCs w:val="32"/>
          <w:highlight w:val="none"/>
          <w:u w:val="none"/>
          <w:lang w:val="en-US" w:eastAsia="zh-CN" w:bidi="ar"/>
        </w:rPr>
        <w:t>顺应消费升级趋势，以“提质、焕新、挖潜、优环境”为路径，结合扶沟县资源禀赋与产业特色，全方位释放消费活力，打造豫东县域消费示范标杆。</w:t>
      </w:r>
    </w:p>
    <w:p w14:paraId="3179C5B1">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楷体_GB2312" w:hAnsi="楷体_GB2312" w:eastAsia="楷体_GB2312" w:cs="楷体_GB2312"/>
          <w:b/>
          <w:bCs/>
          <w:color w:val="auto"/>
          <w:kern w:val="2"/>
          <w:sz w:val="32"/>
          <w:szCs w:val="32"/>
          <w:u w:val="none"/>
          <w:lang w:val="en-US" w:eastAsia="zh-CN" w:bidi="ar-SA"/>
        </w:rPr>
        <w:t>提质构建消费格局。</w:t>
      </w:r>
      <w:r>
        <w:rPr>
          <w:rFonts w:hint="eastAsia" w:ascii="Times New Roman" w:hAnsi="Times New Roman" w:eastAsia="仿宋_GB2312" w:cs="Times New Roman"/>
          <w:color w:val="auto"/>
          <w:kern w:val="2"/>
          <w:sz w:val="32"/>
          <w:szCs w:val="32"/>
          <w:highlight w:val="none"/>
          <w:u w:val="none"/>
          <w:lang w:val="en-US" w:eastAsia="zh-CN" w:bidi="ar"/>
        </w:rPr>
        <w:t>立足“一城两区多点”城市空间布局，升级城区商业核心区，推动桐韵水街、新大新购物广场引入首店品牌5家以上；培育高铁新区消费增长极，建设集商业、文旅、康养于一体的高铁商圈；打响蔬菜主题消费品牌，依托十大特色蔬菜小镇，开发“蔬菜采摘+农事体验”消费场景。到2030年，城区重点商圈年客流量突破1500万人次，蔬菜主题旅游年接待游客超200万人次。</w:t>
      </w:r>
    </w:p>
    <w:p w14:paraId="5D5F7BAF">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楷体_GB2312" w:hAnsi="楷体_GB2312" w:eastAsia="楷体_GB2312" w:cs="楷体_GB2312"/>
          <w:b/>
          <w:bCs/>
          <w:color w:val="auto"/>
          <w:kern w:val="2"/>
          <w:sz w:val="32"/>
          <w:szCs w:val="32"/>
          <w:u w:val="none"/>
          <w:lang w:val="en-US" w:eastAsia="zh-CN" w:bidi="ar-SA"/>
        </w:rPr>
        <w:t>培育消费焕新热点。</w:t>
      </w:r>
      <w:r>
        <w:rPr>
          <w:rFonts w:hint="eastAsia" w:ascii="Times New Roman" w:hAnsi="Times New Roman" w:eastAsia="仿宋_GB2312" w:cs="Times New Roman"/>
          <w:color w:val="auto"/>
          <w:kern w:val="2"/>
          <w:sz w:val="32"/>
          <w:szCs w:val="32"/>
          <w:highlight w:val="none"/>
          <w:u w:val="none"/>
          <w:lang w:val="en-US" w:eastAsia="zh-CN" w:bidi="ar"/>
        </w:rPr>
        <w:t>推动传统消费升级，开展汽车、家电“以旧换新”专项行动，每年发放消费券200万元以上，带动大宗消费增长5%。培育新型消费业态，发展蔬菜预制菜直播电商、社区团购等，建设“扶沟蔬菜直播产业园”，吸引MCN机构、网红品牌入驻，到2030年，实现直播电商交易额突破20亿元。壮大夜间经济，升级桐丘路、文化路夜市街区，引入蔬菜主题文创、特色小吃等业态，打造“24小时活力消费圈”。</w:t>
      </w:r>
    </w:p>
    <w:p w14:paraId="23207544">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楷体_GB2312" w:hAnsi="楷体_GB2312" w:eastAsia="楷体_GB2312" w:cs="楷体_GB2312"/>
          <w:b/>
          <w:bCs/>
          <w:color w:val="auto"/>
          <w:kern w:val="2"/>
          <w:sz w:val="32"/>
          <w:szCs w:val="32"/>
          <w:u w:val="none"/>
          <w:lang w:val="en-US" w:eastAsia="zh-CN" w:bidi="ar-SA"/>
        </w:rPr>
        <w:t>深入挖掘消费领域。</w:t>
      </w:r>
      <w:r>
        <w:rPr>
          <w:rFonts w:hint="eastAsia" w:ascii="Times New Roman" w:hAnsi="Times New Roman" w:eastAsia="仿宋_GB2312" w:cs="Times New Roman"/>
          <w:color w:val="auto"/>
          <w:kern w:val="2"/>
          <w:sz w:val="32"/>
          <w:szCs w:val="32"/>
          <w:highlight w:val="none"/>
          <w:u w:val="none"/>
          <w:lang w:val="en-US" w:eastAsia="zh-CN" w:bidi="ar"/>
        </w:rPr>
        <w:t>释放房地产在改善性住房、保障性住房、存量住房改造等方面的消费潜力，带动装修、家电等相关消费。培育银发经济，建设“扶沟健康养老消费集聚区”，引入高端养老社区、康复护理机构，开发适老化智能产品、蔬菜康养套餐等服务，到2030年，养老消费市场规模突破10亿元。</w:t>
      </w:r>
      <w:r>
        <w:rPr>
          <w:rFonts w:hint="eastAsia" w:ascii="仿宋_GB2312" w:hAnsi="仿宋_GB2312" w:eastAsia="仿宋_GB2312" w:cs="仿宋_GB2312"/>
          <w:color w:val="auto"/>
          <w:sz w:val="32"/>
          <w:szCs w:val="32"/>
          <w:lang w:val="en-US" w:eastAsia="zh-CN"/>
        </w:rPr>
        <w:t>大力发展研学经济，依托省级研学基地吉鸿昌将军纪念馆和中原蔬菜博览园等9个市级研学基地，系统开发研学旅行活动课程，培育专业研发人才与讲师团队，打造一批精品线路，聚力建设“豫东研学旅行目的地”</w:t>
      </w:r>
      <w:r>
        <w:rPr>
          <w:rFonts w:hint="eastAsia" w:ascii="Times New Roman" w:hAnsi="Times New Roman" w:eastAsia="仿宋_GB2312" w:cs="Times New Roman"/>
          <w:color w:val="auto"/>
          <w:kern w:val="2"/>
          <w:sz w:val="32"/>
          <w:szCs w:val="32"/>
          <w:highlight w:val="none"/>
          <w:u w:val="none"/>
          <w:lang w:val="en-US" w:eastAsia="zh-CN" w:bidi="ar"/>
        </w:rPr>
        <w:t>。培育会展经济，聚集我县汽车零部件、纺织服装、蔬菜产业，每年举办高质量推介会，带动酒店餐饮、会展服务等关联产业增长。</w:t>
      </w:r>
    </w:p>
    <w:p w14:paraId="3B169924">
      <w:pPr>
        <w:keepNext w:val="0"/>
        <w:keepLines w:val="0"/>
        <w:pageBreakBefore w:val="0"/>
        <w:widowControl w:val="0"/>
        <w:kinsoku/>
        <w:wordWrap/>
        <w:overflowPunct/>
        <w:topLinePunct w:val="0"/>
        <w:autoSpaceDE/>
        <w:autoSpaceDN/>
        <w:bidi w:val="0"/>
        <w:adjustRightInd w:val="0"/>
        <w:snapToGrid w:val="0"/>
        <w:spacing w:after="721" w:afterLines="200" w:line="560" w:lineRule="exact"/>
        <w:ind w:firstLine="643"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楷体_GB2312" w:hAnsi="楷体_GB2312" w:eastAsia="楷体_GB2312" w:cs="楷体_GB2312"/>
          <w:b/>
          <w:bCs/>
          <w:color w:val="auto"/>
          <w:kern w:val="2"/>
          <w:sz w:val="32"/>
          <w:szCs w:val="32"/>
          <w:u w:val="none"/>
          <w:lang w:val="en-US" w:eastAsia="zh-CN" w:bidi="ar-SA"/>
        </w:rPr>
        <w:t>持续改善消费环境。</w:t>
      </w:r>
      <w:r>
        <w:rPr>
          <w:rFonts w:hint="eastAsia" w:ascii="Times New Roman" w:hAnsi="Times New Roman" w:eastAsia="仿宋_GB2312" w:cs="Times New Roman"/>
          <w:color w:val="auto"/>
          <w:kern w:val="2"/>
          <w:sz w:val="32"/>
          <w:szCs w:val="32"/>
          <w:highlight w:val="none"/>
          <w:u w:val="none"/>
          <w:lang w:val="en-US" w:eastAsia="zh-CN" w:bidi="ar"/>
        </w:rPr>
        <w:t>建设“智慧消费服务体系”，实现重点商圈6G网络建设、智慧停车无感支付、消费纠纷“一键维权”。完善城乡消费网络，推进“一刻钟便民生活圈”建设，到2030年，实现社区便民商业设施覆盖率100%，全面提升乡村商贸中心和农村电商服务站。加强消费安全监管，建立蔬菜质量溯源体系，开展“放心消费”创建活动，消费者满意度保持在90%以上，营造“安全、便捷、舒心”的消费氛围。</w:t>
      </w:r>
    </w:p>
    <w:tbl>
      <w:tblPr>
        <w:tblStyle w:val="2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74"/>
      </w:tblGrid>
      <w:tr w14:paraId="3D47AD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jc w:val="center"/>
        </w:trPr>
        <w:tc>
          <w:tcPr>
            <w:tcW w:w="8674" w:type="dxa"/>
            <w:noWrap w:val="0"/>
            <w:vAlign w:val="center"/>
          </w:tcPr>
          <w:p w14:paraId="41BC7054">
            <w:pPr>
              <w:keepNext w:val="0"/>
              <w:keepLines w:val="0"/>
              <w:pageBreakBefore w:val="0"/>
              <w:widowControl w:val="0"/>
              <w:suppressLineNumbers w:val="0"/>
              <w:kinsoku/>
              <w:wordWrap/>
              <w:overflowPunct/>
              <w:topLinePunct w:val="0"/>
              <w:autoSpaceDE/>
              <w:autoSpaceDN/>
              <w:bidi w:val="0"/>
              <w:adjustRightInd w:val="0"/>
              <w:snapToGrid w:val="0"/>
              <w:spacing w:beforeAutospacing="0" w:afterAutospacing="0" w:line="400" w:lineRule="exact"/>
              <w:ind w:left="0" w:right="0" w:firstLine="0" w:firstLineChars="0"/>
              <w:jc w:val="center"/>
              <w:textAlignment w:val="auto"/>
              <w:rPr>
                <w:rFonts w:hint="default" w:ascii="Times New Roman" w:hAnsi="Times New Roman" w:eastAsia="仿宋" w:cs="Times New Roman"/>
                <w:color w:val="auto"/>
                <w:sz w:val="28"/>
                <w:szCs w:val="28"/>
                <w:highlight w:val="none"/>
                <w:u w:val="none"/>
                <w:shd w:val="clear" w:color="auto" w:fill="FFFFFF"/>
              </w:rPr>
            </w:pPr>
            <w:r>
              <w:rPr>
                <w:rFonts w:hint="eastAsia" w:ascii="楷体_GB2312" w:hAnsi="楷体_GB2312" w:eastAsia="楷体_GB2312" w:cs="楷体_GB2312"/>
                <w:b/>
                <w:bCs w:val="0"/>
                <w:color w:val="auto"/>
                <w:sz w:val="28"/>
                <w:szCs w:val="28"/>
                <w:highlight w:val="none"/>
                <w:u w:val="none"/>
                <w:shd w:val="clear" w:color="auto" w:fill="FFFFFF"/>
                <w:lang w:val="en-US" w:eastAsia="zh-CN"/>
              </w:rPr>
              <w:t>专栏10-1：“十五五”期间提振消费重点项目</w:t>
            </w:r>
          </w:p>
        </w:tc>
      </w:tr>
      <w:tr w14:paraId="1DB9FD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jc w:val="center"/>
        </w:trPr>
        <w:tc>
          <w:tcPr>
            <w:tcW w:w="8674" w:type="dxa"/>
            <w:noWrap w:val="0"/>
            <w:vAlign w:val="center"/>
          </w:tcPr>
          <w:p w14:paraId="10D71C59">
            <w:pPr>
              <w:keepNext w:val="0"/>
              <w:keepLines w:val="0"/>
              <w:pageBreakBefore w:val="0"/>
              <w:widowControl w:val="0"/>
              <w:suppressLineNumbers w:val="0"/>
              <w:kinsoku/>
              <w:wordWrap/>
              <w:overflowPunct/>
              <w:topLinePunct w:val="0"/>
              <w:autoSpaceDE/>
              <w:autoSpaceDN/>
              <w:bidi w:val="0"/>
              <w:adjustRightInd w:val="0"/>
              <w:snapToGrid w:val="0"/>
              <w:spacing w:beforeAutospacing="0" w:afterAutospacing="0" w:line="400" w:lineRule="exact"/>
              <w:ind w:left="0" w:right="0" w:firstLine="562" w:firstLineChars="200"/>
              <w:jc w:val="both"/>
              <w:textAlignment w:val="auto"/>
              <w:rPr>
                <w:rFonts w:hint="eastAsia"/>
                <w:lang w:val="en-US" w:eastAsia="zh-CN"/>
              </w:rPr>
            </w:pPr>
            <w:r>
              <w:rPr>
                <w:rFonts w:hint="eastAsia" w:ascii="Times New Roman" w:hAnsi="Times New Roman" w:eastAsia="仿宋_GB2312" w:cs="Times New Roman"/>
                <w:b/>
                <w:bCs/>
                <w:color w:val="auto"/>
                <w:kern w:val="2"/>
                <w:sz w:val="28"/>
                <w:szCs w:val="28"/>
                <w:highlight w:val="none"/>
                <w:u w:val="none"/>
                <w:lang w:val="en-US" w:eastAsia="zh-CN" w:bidi="ar-SA"/>
              </w:rPr>
              <w:t>重点实施</w:t>
            </w:r>
            <w:r>
              <w:rPr>
                <w:rFonts w:hint="eastAsia" w:ascii="Times New Roman" w:hAnsi="Times New Roman" w:eastAsia="仿宋_GB2312" w:cs="Times New Roman"/>
                <w:b w:val="0"/>
                <w:bCs w:val="0"/>
                <w:color w:val="auto"/>
                <w:kern w:val="2"/>
                <w:sz w:val="28"/>
                <w:szCs w:val="28"/>
                <w:highlight w:val="none"/>
                <w:u w:val="none"/>
                <w:lang w:val="en-US" w:eastAsia="zh-CN" w:bidi="ar-SA"/>
              </w:rPr>
              <w:t>万鹤赉商贸中心改造项目、</w:t>
            </w:r>
            <w:r>
              <w:rPr>
                <w:rFonts w:hint="eastAsia" w:ascii="Times New Roman" w:hAnsi="Times New Roman" w:eastAsia="仿宋_GB2312" w:cs="Times New Roman"/>
                <w:color w:val="auto"/>
                <w:kern w:val="2"/>
                <w:sz w:val="28"/>
                <w:szCs w:val="28"/>
                <w:highlight w:val="none"/>
                <w:u w:val="none"/>
                <w:lang w:val="en-US" w:eastAsia="zh-CN" w:bidi="ar-SA"/>
              </w:rPr>
              <w:t>扶沟县中原菜博文旅综合体项目。</w:t>
            </w:r>
          </w:p>
        </w:tc>
      </w:tr>
    </w:tbl>
    <w:p w14:paraId="659D45AC">
      <w:pPr>
        <w:keepNext/>
        <w:keepLines/>
        <w:pageBreakBefore w:val="0"/>
        <w:widowControl w:val="0"/>
        <w:numPr>
          <w:ilvl w:val="0"/>
          <w:numId w:val="0"/>
        </w:numPr>
        <w:kinsoku/>
        <w:wordWrap/>
        <w:overflowPunct/>
        <w:topLinePunct w:val="0"/>
        <w:autoSpaceDE/>
        <w:autoSpaceDN/>
        <w:bidi w:val="0"/>
        <w:adjustRightInd w:val="0"/>
        <w:snapToGrid w:val="0"/>
        <w:spacing w:before="541" w:beforeLines="150" w:after="156" w:afterLines="50" w:line="560" w:lineRule="exact"/>
        <w:ind w:leftChars="0"/>
        <w:jc w:val="center"/>
        <w:textAlignment w:val="auto"/>
        <w:outlineLvl w:val="2"/>
        <w:rPr>
          <w:rFonts w:hint="eastAsia" w:ascii="Times New Roman" w:hAnsi="Times New Roman" w:eastAsia="黑体" w:cs="Times New Roman"/>
          <w:b/>
          <w:bCs/>
          <w:color w:val="auto"/>
          <w:kern w:val="2"/>
          <w:sz w:val="32"/>
          <w:szCs w:val="32"/>
          <w:highlight w:val="none"/>
          <w:u w:val="none"/>
          <w:lang w:val="en-US" w:eastAsia="zh-CN" w:bidi="ar-SA"/>
        </w:rPr>
      </w:pPr>
      <w:bookmarkStart w:id="221" w:name="_Toc30972"/>
      <w:bookmarkStart w:id="222" w:name="_Toc9067"/>
      <w:bookmarkStart w:id="223" w:name="_Toc23743"/>
      <w:r>
        <w:rPr>
          <w:rFonts w:hint="eastAsia" w:ascii="Times New Roman" w:hAnsi="Times New Roman" w:eastAsia="黑体" w:cs="Times New Roman"/>
          <w:b/>
          <w:bCs/>
          <w:color w:val="auto"/>
          <w:kern w:val="2"/>
          <w:sz w:val="32"/>
          <w:szCs w:val="32"/>
          <w:highlight w:val="none"/>
          <w:u w:val="none"/>
          <w:lang w:val="en-US" w:eastAsia="zh-CN" w:bidi="ar-SA"/>
        </w:rPr>
        <w:t>第五节扩大合理有效投资</w:t>
      </w:r>
      <w:bookmarkEnd w:id="221"/>
      <w:bookmarkEnd w:id="222"/>
      <w:bookmarkEnd w:id="223"/>
    </w:p>
    <w:p w14:paraId="0FF1106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Times New Roman" w:hAnsi="Times New Roman" w:eastAsia="仿宋_GB2312" w:cs="Times New Roman"/>
          <w:color w:val="auto"/>
          <w:kern w:val="2"/>
          <w:sz w:val="32"/>
          <w:szCs w:val="32"/>
          <w:highlight w:val="none"/>
          <w:u w:val="none"/>
          <w:lang w:val="en-US" w:eastAsia="zh-CN" w:bidi="ar"/>
        </w:rPr>
        <w:t>坚持“项目为王”，聚焦“两新一重”和产业升级，扩大有效投资，形成“谋划-储备-建设-投产”的闭环机制，为经济增长注入强劲动力。</w:t>
      </w:r>
    </w:p>
    <w:p w14:paraId="60776724">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楷体_GB2312" w:hAnsi="楷体_GB2312" w:eastAsia="楷体_GB2312" w:cs="楷体_GB2312"/>
          <w:b/>
          <w:bCs/>
          <w:color w:val="auto"/>
          <w:kern w:val="2"/>
          <w:sz w:val="32"/>
          <w:szCs w:val="32"/>
          <w:u w:val="none"/>
          <w:lang w:val="en-US" w:eastAsia="zh-CN" w:bidi="ar-SA"/>
        </w:rPr>
        <w:t>优化投资结构。</w:t>
      </w:r>
      <w:r>
        <w:rPr>
          <w:rFonts w:hint="eastAsia" w:ascii="Times New Roman" w:hAnsi="Times New Roman" w:eastAsia="仿宋_GB2312" w:cs="Times New Roman"/>
          <w:color w:val="auto"/>
          <w:kern w:val="2"/>
          <w:sz w:val="32"/>
          <w:szCs w:val="32"/>
          <w:highlight w:val="none"/>
          <w:u w:val="none"/>
          <w:lang w:val="en-US" w:eastAsia="zh-CN" w:bidi="ar"/>
        </w:rPr>
        <w:t>加大产业投资力度，重点推进零碳铝制品产业园、蔬菜精深加工产业园等一批产业转型项目，“十五五”期间，实现工业投资逐年增长，战略性新兴产业投资占比超35%。补齐基础设施短板，提升改造国省道、新建续建永灵高速城北环线等交通项目，建成“15分钟上高速”交通网络；推进豫东水资源配置工程（扶沟段）、南水北调扶沟城乡一体化供水、第二水厂等民生工程，提升城市承载能力。增加民生投资，</w:t>
      </w:r>
      <w:r>
        <w:rPr>
          <w:rFonts w:hint="eastAsia" w:ascii="仿宋_GB2312" w:hAnsi="仿宋_GB2312" w:eastAsia="仿宋_GB2312" w:cs="仿宋_GB2312"/>
          <w:color w:val="auto"/>
          <w:sz w:val="32"/>
          <w:szCs w:val="32"/>
          <w:lang w:val="en-US" w:eastAsia="zh-CN"/>
        </w:rPr>
        <w:t>在城区新建立雪路学校、第二实验小学、第二实验中学，搬迁包屯高中；改扩建柴岗初中和大李庄中学</w:t>
      </w:r>
      <w:r>
        <w:rPr>
          <w:rFonts w:hint="eastAsia" w:ascii="Times New Roman" w:hAnsi="Times New Roman" w:eastAsia="仿宋_GB2312" w:cs="Times New Roman"/>
          <w:color w:val="auto"/>
          <w:kern w:val="2"/>
          <w:sz w:val="32"/>
          <w:szCs w:val="32"/>
          <w:highlight w:val="none"/>
          <w:u w:val="none"/>
          <w:lang w:val="en-US" w:eastAsia="zh-CN" w:bidi="ar"/>
        </w:rPr>
        <w:t>，二级医院1所（新区），实现优质公共服务资源均衡布局。</w:t>
      </w:r>
    </w:p>
    <w:p w14:paraId="3512AD3C">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楷体_GB2312" w:hAnsi="楷体_GB2312" w:eastAsia="楷体_GB2312" w:cs="楷体_GB2312"/>
          <w:b/>
          <w:bCs/>
          <w:color w:val="auto"/>
          <w:kern w:val="2"/>
          <w:sz w:val="32"/>
          <w:szCs w:val="32"/>
          <w:u w:val="none"/>
          <w:lang w:val="en-US" w:eastAsia="zh-CN" w:bidi="ar-SA"/>
        </w:rPr>
        <w:t>拓宽投资渠道。</w:t>
      </w:r>
      <w:r>
        <w:rPr>
          <w:rFonts w:hint="eastAsia" w:ascii="Times New Roman" w:hAnsi="Times New Roman" w:eastAsia="仿宋_GB2312" w:cs="Times New Roman"/>
          <w:color w:val="auto"/>
          <w:kern w:val="2"/>
          <w:sz w:val="32"/>
          <w:szCs w:val="32"/>
          <w:highlight w:val="none"/>
          <w:u w:val="none"/>
          <w:lang w:val="en-US" w:eastAsia="zh-CN" w:bidi="ar"/>
        </w:rPr>
        <w:t>激发民间投资活力，推出“民间投资项目清单”，在蔬菜冷链、乡村旅游等领域筛选一批项目向社会资本开放，推行PPP新模式。强化政策性资金争取，积极对接中央预算内投资、超长期特别国债、地方政府专项债，到2030年，争取政策性资金年均增长20%。拓宽项目融资渠道，支持企业通过发行公司债、资产证券化（ABS）、基础设施领域不动产投资信托基金（REITs）项目融资，推动国控投资公司发行产业债券，实现融资多元化。</w:t>
      </w:r>
    </w:p>
    <w:p w14:paraId="23DFC776">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楷体_GB2312" w:hAnsi="楷体_GB2312" w:eastAsia="楷体_GB2312" w:cs="楷体_GB2312"/>
          <w:b/>
          <w:bCs/>
          <w:color w:val="auto"/>
          <w:kern w:val="2"/>
          <w:sz w:val="32"/>
          <w:szCs w:val="32"/>
          <w:u w:val="none"/>
          <w:lang w:val="en-US" w:eastAsia="zh-CN" w:bidi="ar-SA"/>
        </w:rPr>
        <w:t>强化项目推进。</w:t>
      </w:r>
      <w:r>
        <w:rPr>
          <w:rFonts w:hint="eastAsia" w:ascii="Times New Roman" w:hAnsi="Times New Roman" w:eastAsia="仿宋_GB2312" w:cs="Times New Roman"/>
          <w:color w:val="auto"/>
          <w:kern w:val="2"/>
          <w:sz w:val="32"/>
          <w:szCs w:val="32"/>
          <w:highlight w:val="none"/>
          <w:u w:val="none"/>
          <w:lang w:val="en-US" w:eastAsia="zh-CN" w:bidi="ar"/>
        </w:rPr>
        <w:t>坚持“五个一”项目推进机制，每个重点项目配备“一名领导包联、一个专班服务、一套推进方案、一笔配套资金、一套考核办法”。优化项目审批流程，推行“拿地即开工”“并联审批”，将产业项目审批时间压缩至30个工作日以内。建立项目“回头看”机制，对竣工项目开展投产达效评估，确保投资精准落地。。</w:t>
      </w:r>
    </w:p>
    <w:p w14:paraId="762A57C1">
      <w:pPr>
        <w:keepNext/>
        <w:keepLines/>
        <w:pageBreakBefore w:val="0"/>
        <w:widowControl w:val="0"/>
        <w:numPr>
          <w:ilvl w:val="0"/>
          <w:numId w:val="0"/>
        </w:numPr>
        <w:kinsoku/>
        <w:wordWrap/>
        <w:overflowPunct/>
        <w:topLinePunct w:val="0"/>
        <w:autoSpaceDE/>
        <w:autoSpaceDN/>
        <w:bidi w:val="0"/>
        <w:adjustRightInd w:val="0"/>
        <w:snapToGrid w:val="0"/>
        <w:spacing w:before="156" w:beforeLines="50" w:after="156" w:afterLines="50" w:line="560" w:lineRule="exact"/>
        <w:ind w:leftChars="0"/>
        <w:jc w:val="center"/>
        <w:textAlignment w:val="auto"/>
        <w:outlineLvl w:val="2"/>
        <w:rPr>
          <w:rFonts w:hint="eastAsia" w:ascii="Times New Roman" w:hAnsi="Times New Roman" w:eastAsia="黑体" w:cs="Times New Roman"/>
          <w:b/>
          <w:bCs/>
          <w:color w:val="auto"/>
          <w:kern w:val="2"/>
          <w:sz w:val="32"/>
          <w:szCs w:val="32"/>
          <w:highlight w:val="none"/>
          <w:u w:val="none"/>
          <w:lang w:val="en-US" w:eastAsia="zh-CN" w:bidi="ar-SA"/>
        </w:rPr>
      </w:pPr>
      <w:bookmarkStart w:id="224" w:name="_Toc9587"/>
      <w:bookmarkStart w:id="225" w:name="_Toc5552"/>
      <w:bookmarkStart w:id="226" w:name="_Toc22972"/>
      <w:r>
        <w:rPr>
          <w:rFonts w:hint="eastAsia" w:ascii="Times New Roman" w:hAnsi="Times New Roman" w:eastAsia="黑体" w:cs="Times New Roman"/>
          <w:b/>
          <w:bCs/>
          <w:color w:val="auto"/>
          <w:kern w:val="2"/>
          <w:sz w:val="32"/>
          <w:szCs w:val="32"/>
          <w:highlight w:val="none"/>
          <w:u w:val="none"/>
          <w:lang w:val="en-US" w:eastAsia="zh-CN" w:bidi="ar-SA"/>
        </w:rPr>
        <w:t>第六节畅通要素自由流动</w:t>
      </w:r>
      <w:bookmarkEnd w:id="224"/>
      <w:bookmarkEnd w:id="225"/>
      <w:bookmarkEnd w:id="226"/>
    </w:p>
    <w:p w14:paraId="1D02B6B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Times New Roman" w:hAnsi="Times New Roman" w:eastAsia="仿宋_GB2312" w:cs="Times New Roman"/>
          <w:color w:val="auto"/>
          <w:kern w:val="2"/>
          <w:sz w:val="32"/>
          <w:szCs w:val="32"/>
          <w:highlight w:val="none"/>
          <w:u w:val="none"/>
          <w:lang w:val="en-US" w:eastAsia="zh-CN" w:bidi="ar"/>
        </w:rPr>
        <w:t>破除要素流动壁垒，推动土地、劳动力、资本、技术、数据等要素市场化配置，为县域经济循环提供高效支撑。</w:t>
      </w:r>
    </w:p>
    <w:p w14:paraId="7F292C6D">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楷体_GB2312" w:hAnsi="楷体_GB2312" w:eastAsia="楷体_GB2312" w:cs="楷体_GB2312"/>
          <w:b/>
          <w:bCs/>
          <w:color w:val="auto"/>
          <w:kern w:val="2"/>
          <w:sz w:val="32"/>
          <w:szCs w:val="32"/>
          <w:u w:val="none"/>
          <w:lang w:val="en-US" w:eastAsia="zh-CN" w:bidi="ar-SA"/>
        </w:rPr>
        <w:t>深化土地要素改革。</w:t>
      </w:r>
      <w:r>
        <w:rPr>
          <w:rFonts w:hint="eastAsia" w:ascii="Times New Roman" w:hAnsi="Times New Roman" w:eastAsia="仿宋_GB2312" w:cs="Times New Roman"/>
          <w:color w:val="auto"/>
          <w:kern w:val="2"/>
          <w:sz w:val="32"/>
          <w:szCs w:val="32"/>
          <w:highlight w:val="none"/>
          <w:u w:val="none"/>
          <w:lang w:val="en-US" w:eastAsia="zh-CN" w:bidi="ar"/>
        </w:rPr>
        <w:t>精准聚焦重点区域，以开发区为重点盘活区域，坚持用好增量、挖掘存量、做活流量、提高质量的原则，积极处置城镇低效、闲置土地，推进低效用地再开发，确保2030年，盘活完成低效用地1500亩以上。全面推行工业用地“标准地+弹性20年期”出让制度，降低工业用地成本，缓解企业经济压力，提高土地利用价值。结合实际，科学研判“十五五”期间产业用地需求总量，同时，紧密结合企业用地需求，合理编制控制性详细规划，确保产业发展空间布局合理，实现到2030年，完成产业用地占城镇建设用地比例提升至20%。 重点推广“蔬菜园区+物流仓储”、“乡镇工业+配套商业”等复合用地模式，切实提升土地综合利用效益。建立土地要素保障“白名单”制度，加大土地供给力度，对蔬菜产业园、汽车零部件基地等重点项目予以优先供地，做到应保尽保、应保快保。</w:t>
      </w:r>
    </w:p>
    <w:p w14:paraId="3BF97ACE">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楷体_GB2312" w:hAnsi="楷体_GB2312" w:eastAsia="楷体_GB2312" w:cs="楷体_GB2312"/>
          <w:b/>
          <w:bCs/>
          <w:color w:val="auto"/>
          <w:kern w:val="2"/>
          <w:sz w:val="32"/>
          <w:szCs w:val="32"/>
          <w:u w:val="none"/>
          <w:lang w:val="en-US" w:eastAsia="zh-CN" w:bidi="ar-SA"/>
        </w:rPr>
        <w:t>完善就业服务体系，优化劳动力要素配置。</w:t>
      </w:r>
      <w:r>
        <w:rPr>
          <w:rFonts w:hint="eastAsia" w:ascii="Times New Roman" w:hAnsi="Times New Roman" w:eastAsia="仿宋_GB2312" w:cs="Times New Roman"/>
          <w:color w:val="auto"/>
          <w:kern w:val="2"/>
          <w:sz w:val="32"/>
          <w:szCs w:val="32"/>
          <w:highlight w:val="none"/>
          <w:u w:val="none"/>
          <w:lang w:val="en" w:eastAsia="zh-CN" w:bidi="ar"/>
        </w:rPr>
        <w:t>构建“</w:t>
      </w:r>
      <w:r>
        <w:rPr>
          <w:rFonts w:hint="eastAsia" w:ascii="Times New Roman" w:hAnsi="Times New Roman" w:eastAsia="仿宋_GB2312" w:cs="Times New Roman"/>
          <w:color w:val="auto"/>
          <w:kern w:val="2"/>
          <w:sz w:val="32"/>
          <w:szCs w:val="32"/>
          <w:highlight w:val="none"/>
          <w:u w:val="none"/>
          <w:lang w:val="en-US" w:eastAsia="zh-CN" w:bidi="ar"/>
        </w:rPr>
        <w:t>1+16+N</w:t>
      </w:r>
      <w:r>
        <w:rPr>
          <w:rFonts w:hint="eastAsia" w:ascii="Times New Roman" w:hAnsi="Times New Roman" w:eastAsia="仿宋_GB2312" w:cs="Times New Roman"/>
          <w:color w:val="auto"/>
          <w:kern w:val="2"/>
          <w:sz w:val="32"/>
          <w:szCs w:val="32"/>
          <w:highlight w:val="none"/>
          <w:u w:val="none"/>
          <w:lang w:val="en" w:eastAsia="zh-CN" w:bidi="ar"/>
        </w:rPr>
        <w:t>”（</w:t>
      </w:r>
      <w:r>
        <w:rPr>
          <w:rFonts w:hint="eastAsia" w:ascii="Times New Roman" w:hAnsi="Times New Roman" w:eastAsia="仿宋_GB2312" w:cs="Times New Roman"/>
          <w:color w:val="auto"/>
          <w:kern w:val="2"/>
          <w:sz w:val="32"/>
          <w:szCs w:val="32"/>
          <w:highlight w:val="none"/>
          <w:u w:val="none"/>
          <w:lang w:val="en-US" w:eastAsia="zh-CN" w:bidi="ar"/>
        </w:rPr>
        <w:t>1个县级零工市场，16个乡镇零工驿站，N个家门口服务站</w:t>
      </w:r>
      <w:r>
        <w:rPr>
          <w:rFonts w:hint="eastAsia" w:ascii="Times New Roman" w:hAnsi="Times New Roman" w:eastAsia="仿宋_GB2312" w:cs="Times New Roman"/>
          <w:color w:val="auto"/>
          <w:kern w:val="2"/>
          <w:sz w:val="32"/>
          <w:szCs w:val="32"/>
          <w:highlight w:val="none"/>
          <w:u w:val="none"/>
          <w:lang w:val="en" w:eastAsia="zh-CN" w:bidi="ar"/>
        </w:rPr>
        <w:t>）零工市场服务体系，</w:t>
      </w:r>
      <w:r>
        <w:rPr>
          <w:rFonts w:hint="eastAsia" w:ascii="Times New Roman" w:hAnsi="Times New Roman" w:eastAsia="仿宋_GB2312" w:cs="Times New Roman"/>
          <w:color w:val="auto"/>
          <w:kern w:val="2"/>
          <w:sz w:val="32"/>
          <w:szCs w:val="32"/>
          <w:highlight w:val="none"/>
          <w:u w:val="none"/>
          <w:lang w:val="en-US" w:eastAsia="zh-CN" w:bidi="ar"/>
        </w:rPr>
        <w:t>打造“家门口”就业服务站、“15分钟”就业服务圈，健全布局合理、服务规范、运行高效的基层就业公共服务网络，为城乡劳动者提供就地就近服务；继续落实就业援助、技能培训等政策措施，</w:t>
      </w:r>
      <w:r>
        <w:rPr>
          <w:rFonts w:hint="default" w:ascii="Times New Roman" w:hAnsi="Times New Roman" w:eastAsia="仿宋_GB2312" w:cs="Times New Roman"/>
          <w:color w:val="auto"/>
          <w:kern w:val="2"/>
          <w:sz w:val="32"/>
          <w:szCs w:val="32"/>
          <w:highlight w:val="none"/>
          <w:u w:val="none"/>
          <w:lang w:val="en-US" w:eastAsia="zh-CN" w:bidi="ar"/>
        </w:rPr>
        <w:t>紧跟产业需求和就业意愿，精准高效开展就业技能培训、岗位技能提升培训和创业培训，促进技能提升、技能就业。</w:t>
      </w:r>
      <w:r>
        <w:rPr>
          <w:rFonts w:hint="eastAsia" w:ascii="Times New Roman" w:hAnsi="Times New Roman" w:eastAsia="仿宋_GB2312" w:cs="Times New Roman"/>
          <w:color w:val="auto"/>
          <w:kern w:val="2"/>
          <w:sz w:val="32"/>
          <w:szCs w:val="32"/>
          <w:highlight w:val="none"/>
          <w:u w:val="none"/>
          <w:lang w:val="en-US" w:eastAsia="zh-CN" w:bidi="ar"/>
        </w:rPr>
        <w:t>到2030年，累计新增城镇就业3万人以上。积极推动县医院、河南农业大学扶沟蔬菜研究院创建博士后工作站，搭建产学研协同创新平台，为企业输送高层次创新人才。</w:t>
      </w:r>
    </w:p>
    <w:p w14:paraId="51C52906">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楷体_GB2312" w:hAnsi="楷体_GB2312" w:eastAsia="楷体_GB2312" w:cs="楷体_GB2312"/>
          <w:b/>
          <w:bCs/>
          <w:color w:val="auto"/>
          <w:kern w:val="2"/>
          <w:sz w:val="32"/>
          <w:szCs w:val="32"/>
          <w:u w:val="none"/>
          <w:lang w:val="en-US" w:eastAsia="zh-CN" w:bidi="ar-SA"/>
        </w:rPr>
        <w:t>创新资本要素服务。</w:t>
      </w:r>
      <w:r>
        <w:rPr>
          <w:rFonts w:hint="eastAsia" w:ascii="Times New Roman" w:hAnsi="Times New Roman" w:eastAsia="仿宋_GB2312" w:cs="Times New Roman"/>
          <w:color w:val="auto"/>
          <w:kern w:val="2"/>
          <w:sz w:val="32"/>
          <w:szCs w:val="32"/>
          <w:highlight w:val="none"/>
          <w:u w:val="none"/>
          <w:lang w:val="en-US" w:eastAsia="zh-CN" w:bidi="ar"/>
        </w:rPr>
        <w:t>构建“农业金融+产业金融”服务体系，设立科创基金，支持蔬菜种苗研发、汽车零部件智能化改造；发展供应链金融，依托省、市官方融资平台为中小微企业提供应收账款融资，到2030年，中小微企业贷款覆盖率提升至70%。推进企业上市培育，建立“上市后备企业库”，为宝乐奶业、桂柳牧业等企业（有上市可能性的企业）提供“一对一”辅导，到2030年，争取上市企业零的突破。规范发展地方金融组织，引导小额贷款、融资担保公司聚焦主业，服务实体经济。</w:t>
      </w:r>
    </w:p>
    <w:p w14:paraId="6BE851B6">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楷体_GB2312" w:hAnsi="楷体_GB2312" w:eastAsia="楷体_GB2312" w:cs="楷体_GB2312"/>
          <w:b/>
          <w:bCs/>
          <w:color w:val="auto"/>
          <w:kern w:val="2"/>
          <w:sz w:val="32"/>
          <w:szCs w:val="32"/>
          <w:u w:val="none"/>
          <w:lang w:val="en-US" w:eastAsia="zh-CN" w:bidi="ar-SA"/>
        </w:rPr>
        <w:t>激活技术要素活力，优化创新生态环境。</w:t>
      </w:r>
      <w:r>
        <w:rPr>
          <w:rFonts w:hint="eastAsia" w:ascii="Times New Roman" w:hAnsi="Times New Roman" w:eastAsia="仿宋_GB2312" w:cs="Times New Roman"/>
          <w:color w:val="auto"/>
          <w:kern w:val="2"/>
          <w:sz w:val="32"/>
          <w:szCs w:val="32"/>
          <w:highlight w:val="none"/>
          <w:u w:val="none"/>
          <w:lang w:val="en-US" w:eastAsia="zh-CN" w:bidi="ar"/>
        </w:rPr>
        <w:t>聚焦纺织服装、装备制造两大核心产业及蔬菜特色产业，高起点规划、高标准建设“扶沟科创综合体”，有效整合河南工程学院科研力量、河南农大扶沟蔬菜研究院创新资源、中原农谷研发基地等平台资源，组建蔬菜种植、汽车零部件、纺织面料功能升级、光电光学制品产业技术创新联盟，到2030年，建成省级创新平台10家以上。大力促进科技成果转移转化，深化与河南工程学院、郑州大学、周口农科院等高校院所的“产学研用”对接机制，针对纺织面料功能升级、装备制造核心技术攻关、蔬菜绿色种植等需求，每年举办“科技成果对接会”3场以上，技术合同登记额突破15亿元。加强知识产权创造、运用、保护和管理全链条服务，建设“扶沟知识产权交易中心”，重点推动蔬菜集约化育苗、汽车零部件轻量化技术、纺织新材料研发、新型光电光学器件等领域的专利技术进行作价入股、质押融资、交易流转，为企业创新主体提供知识产权专业化服务，显著提升知识产权对产业创新发展的贡献度，充分激发各类主体的创新活力和创造潜能。</w:t>
      </w:r>
    </w:p>
    <w:p w14:paraId="6CD894B3">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楷体_GB2312" w:hAnsi="楷体_GB2312" w:eastAsia="楷体_GB2312" w:cs="楷体_GB2312"/>
          <w:b/>
          <w:bCs/>
          <w:color w:val="auto"/>
          <w:kern w:val="2"/>
          <w:sz w:val="32"/>
          <w:szCs w:val="32"/>
          <w:u w:val="none"/>
          <w:lang w:val="en-US" w:eastAsia="zh-CN" w:bidi="ar-SA"/>
        </w:rPr>
        <w:t>推动数据要素流通。</w:t>
      </w:r>
      <w:r>
        <w:rPr>
          <w:rFonts w:hint="eastAsia" w:ascii="Times New Roman" w:hAnsi="Times New Roman" w:eastAsia="仿宋_GB2312" w:cs="Times New Roman"/>
          <w:color w:val="auto"/>
          <w:kern w:val="2"/>
          <w:sz w:val="32"/>
          <w:szCs w:val="32"/>
          <w:highlight w:val="none"/>
          <w:u w:val="none"/>
          <w:lang w:val="en-US" w:eastAsia="zh-CN" w:bidi="ar"/>
        </w:rPr>
        <w:t>搭建“扶沟数据资源中心”，整合政务数据、蔬菜产业数据、物流数据，建立数据资源目录和共享机制，依托周口市政务信息共享平台，按“需求导向、急用先行”原则，加快政务数据归集，统一数据标准与共享机制，协同推进数字政府建设。培育数据要素市场，开展蔬菜产销数据、工业生产数据确权试点，支持“桐禾智慧教育平台”“扶沟蔬菜电商平台”开发数据产品，推动数据赋能实体经济。加强数据安全保障，建立数据分类分级保护制度，防范数据泄露风险，构建“安全有序、开放共享”的数据要素生态。</w:t>
      </w:r>
    </w:p>
    <w:p w14:paraId="270FE04E">
      <w:pPr>
        <w:keepNext/>
        <w:keepLines/>
        <w:pageBreakBefore w:val="0"/>
        <w:widowControl w:val="0"/>
        <w:numPr>
          <w:ilvl w:val="0"/>
          <w:numId w:val="0"/>
        </w:numPr>
        <w:kinsoku/>
        <w:wordWrap/>
        <w:overflowPunct/>
        <w:topLinePunct w:val="0"/>
        <w:autoSpaceDE/>
        <w:autoSpaceDN/>
        <w:bidi w:val="0"/>
        <w:adjustRightInd w:val="0"/>
        <w:snapToGrid w:val="0"/>
        <w:spacing w:before="541" w:beforeLines="150" w:after="439" w:afterLines="100" w:line="560" w:lineRule="exact"/>
        <w:ind w:leftChars="0"/>
        <w:jc w:val="left"/>
        <w:textAlignment w:val="auto"/>
        <w:outlineLvl w:val="0"/>
        <w:rPr>
          <w:rFonts w:hint="default" w:ascii="Times New Roman" w:hAnsi="Times New Roman" w:eastAsia="方正小标宋_GBK" w:cs="Times New Roman"/>
          <w:b/>
          <w:color w:val="auto"/>
          <w:kern w:val="2"/>
          <w:sz w:val="36"/>
          <w:szCs w:val="36"/>
          <w:highlight w:val="none"/>
          <w:u w:val="none"/>
          <w:lang w:val="en-US" w:eastAsia="zh-CN" w:bidi="ar-SA"/>
        </w:rPr>
      </w:pPr>
      <w:bookmarkStart w:id="227" w:name="_Toc20538"/>
      <w:bookmarkStart w:id="228" w:name="_Toc3511"/>
      <w:bookmarkStart w:id="229" w:name="_Toc27046"/>
      <w:r>
        <w:rPr>
          <w:rFonts w:hint="eastAsia" w:ascii="Times New Roman" w:hAnsi="Times New Roman" w:eastAsia="方正小标宋_GBK" w:cs="Times New Roman"/>
          <w:b/>
          <w:color w:val="auto"/>
          <w:kern w:val="2"/>
          <w:sz w:val="36"/>
          <w:szCs w:val="36"/>
          <w:highlight w:val="none"/>
          <w:u w:val="none"/>
          <w:lang w:val="en-US" w:eastAsia="zh-CN" w:bidi="ar-SA"/>
        </w:rPr>
        <w:t>板块五：民生实事</w:t>
      </w:r>
      <w:bookmarkEnd w:id="227"/>
      <w:bookmarkEnd w:id="228"/>
    </w:p>
    <w:p w14:paraId="2FE59B01">
      <w:pPr>
        <w:keepNext/>
        <w:keepLines/>
        <w:pageBreakBefore w:val="0"/>
        <w:widowControl w:val="0"/>
        <w:numPr>
          <w:ilvl w:val="0"/>
          <w:numId w:val="0"/>
        </w:numPr>
        <w:kinsoku/>
        <w:wordWrap/>
        <w:overflowPunct/>
        <w:topLinePunct w:val="0"/>
        <w:autoSpaceDE/>
        <w:autoSpaceDN/>
        <w:bidi w:val="0"/>
        <w:adjustRightInd w:val="0"/>
        <w:snapToGrid w:val="0"/>
        <w:spacing w:before="541" w:beforeLines="150" w:after="439" w:afterLines="100" w:line="560" w:lineRule="exact"/>
        <w:ind w:leftChars="0"/>
        <w:jc w:val="center"/>
        <w:textAlignment w:val="auto"/>
        <w:outlineLvl w:val="1"/>
        <w:rPr>
          <w:rFonts w:hint="eastAsia" w:ascii="Times New Roman" w:hAnsi="Times New Roman" w:eastAsia="方正小标宋_GBK" w:cs="Times New Roman"/>
          <w:b/>
          <w:color w:val="auto"/>
          <w:kern w:val="2"/>
          <w:sz w:val="36"/>
          <w:szCs w:val="36"/>
          <w:highlight w:val="none"/>
          <w:u w:val="none"/>
          <w:lang w:val="en-US" w:eastAsia="zh-CN" w:bidi="ar-SA"/>
        </w:rPr>
      </w:pPr>
      <w:bookmarkStart w:id="230" w:name="_Toc32585"/>
      <w:bookmarkStart w:id="231" w:name="_Toc22766"/>
      <w:bookmarkStart w:id="232" w:name="_Toc7851"/>
      <w:r>
        <w:rPr>
          <w:rFonts w:hint="eastAsia" w:ascii="Times New Roman" w:hAnsi="Times New Roman" w:eastAsia="方正小标宋_GBK" w:cs="Times New Roman"/>
          <w:b/>
          <w:color w:val="auto"/>
          <w:kern w:val="2"/>
          <w:sz w:val="36"/>
          <w:szCs w:val="36"/>
          <w:highlight w:val="none"/>
          <w:u w:val="none"/>
          <w:lang w:val="en-US" w:eastAsia="zh-CN" w:bidi="ar-SA"/>
        </w:rPr>
        <w:t>第十一章</w:t>
      </w:r>
      <w:bookmarkEnd w:id="230"/>
      <w:r>
        <w:rPr>
          <w:rFonts w:hint="eastAsia" w:ascii="Times New Roman" w:hAnsi="Times New Roman" w:eastAsia="方正小标宋_GBK" w:cs="Times New Roman"/>
          <w:b/>
          <w:color w:val="auto"/>
          <w:kern w:val="2"/>
          <w:sz w:val="36"/>
          <w:szCs w:val="36"/>
          <w:highlight w:val="none"/>
          <w:u w:val="none"/>
          <w:lang w:val="en-US" w:eastAsia="zh-CN" w:bidi="ar-SA"/>
        </w:rPr>
        <w:t>文化铸魂赋能，提升县域发展软实力</w:t>
      </w:r>
      <w:bookmarkEnd w:id="231"/>
      <w:bookmarkEnd w:id="232"/>
    </w:p>
    <w:p w14:paraId="02D9338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Times New Roman" w:hAnsi="Times New Roman" w:eastAsia="仿宋_GB2312" w:cs="Times New Roman"/>
          <w:color w:val="auto"/>
          <w:kern w:val="2"/>
          <w:sz w:val="32"/>
          <w:szCs w:val="32"/>
          <w:highlight w:val="none"/>
          <w:u w:val="none"/>
          <w:lang w:val="en-US" w:eastAsia="zh-CN" w:bidi="ar"/>
        </w:rPr>
        <w:t>坚持以社会主义核心价值观为引领，以满足人民日益增长的美好生活需要为主线，依托扶沟农耕文化底蕴，以“传承优秀文脉、培育农业文旅品牌”为核心，提供丰富、多元、优质的公共文化服务，切实满足人民群众精神文化需求，不断增强社会凝聚力和精神推动力，扎实推动文化事业与文化产业繁荣发展，为扶沟县现代化建设注入强大文化动能。</w:t>
      </w:r>
    </w:p>
    <w:p w14:paraId="08B1168E">
      <w:pPr>
        <w:keepNext/>
        <w:keepLines/>
        <w:pageBreakBefore w:val="0"/>
        <w:widowControl w:val="0"/>
        <w:numPr>
          <w:ilvl w:val="0"/>
          <w:numId w:val="0"/>
        </w:numPr>
        <w:kinsoku/>
        <w:wordWrap/>
        <w:overflowPunct/>
        <w:topLinePunct w:val="0"/>
        <w:autoSpaceDE/>
        <w:autoSpaceDN/>
        <w:bidi w:val="0"/>
        <w:adjustRightInd w:val="0"/>
        <w:snapToGrid w:val="0"/>
        <w:spacing w:before="156" w:beforeLines="50" w:after="156" w:afterLines="50" w:line="560" w:lineRule="exact"/>
        <w:ind w:leftChars="0"/>
        <w:jc w:val="center"/>
        <w:textAlignment w:val="auto"/>
        <w:outlineLvl w:val="2"/>
        <w:rPr>
          <w:rFonts w:hint="eastAsia" w:ascii="Times New Roman" w:hAnsi="Times New Roman" w:eastAsia="黑体" w:cs="Times New Roman"/>
          <w:b/>
          <w:bCs/>
          <w:color w:val="auto"/>
          <w:kern w:val="2"/>
          <w:sz w:val="32"/>
          <w:szCs w:val="32"/>
          <w:highlight w:val="none"/>
          <w:u w:val="none"/>
          <w:lang w:val="en-US" w:eastAsia="zh-CN" w:bidi="ar-SA"/>
        </w:rPr>
      </w:pPr>
      <w:bookmarkStart w:id="233" w:name="_Toc5732"/>
      <w:bookmarkStart w:id="234" w:name="_Toc7335"/>
      <w:r>
        <w:rPr>
          <w:rFonts w:hint="eastAsia" w:ascii="Times New Roman" w:hAnsi="Times New Roman" w:eastAsia="黑体" w:cs="Times New Roman"/>
          <w:b/>
          <w:bCs/>
          <w:color w:val="auto"/>
          <w:kern w:val="2"/>
          <w:sz w:val="32"/>
          <w:szCs w:val="32"/>
          <w:highlight w:val="none"/>
          <w:u w:val="none"/>
          <w:lang w:val="en-US" w:eastAsia="zh-CN" w:bidi="ar-SA"/>
        </w:rPr>
        <w:t>第一节加强社会主义精神文明建设</w:t>
      </w:r>
      <w:bookmarkEnd w:id="233"/>
      <w:bookmarkEnd w:id="234"/>
    </w:p>
    <w:p w14:paraId="05B210D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Times New Roman" w:hAnsi="Times New Roman" w:eastAsia="仿宋_GB2312" w:cs="Times New Roman"/>
          <w:color w:val="auto"/>
          <w:kern w:val="2"/>
          <w:sz w:val="32"/>
          <w:szCs w:val="32"/>
          <w:highlight w:val="none"/>
          <w:u w:val="none"/>
          <w:lang w:val="en-US" w:eastAsia="zh-CN" w:bidi="ar"/>
        </w:rPr>
        <w:t>凝聚社会共识，提升公民文明素养。坚持马克思主义在意识形态领域的指导地位，深化党的创新理论学习宣传教育，坚持不懈用习近平新时代中国特色社会主义思想凝心铸魂。</w:t>
      </w:r>
    </w:p>
    <w:p w14:paraId="2A3076A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Times New Roman" w:hAnsi="Times New Roman" w:eastAsia="仿宋_GB2312" w:cs="Times New Roman"/>
          <w:color w:val="auto"/>
          <w:kern w:val="2"/>
          <w:sz w:val="32"/>
          <w:szCs w:val="32"/>
          <w:highlight w:val="none"/>
          <w:u w:val="none"/>
          <w:lang w:val="en-US" w:eastAsia="zh-CN" w:bidi="ar"/>
        </w:rPr>
        <w:t>加强社会主义核心价值观宣传教育，开展“道德模范评选”“文明家庭表彰”等活动；加强精神文明创建，深入开展文明城市、文明村镇等创建活动，提高社会文明程度；</w:t>
      </w:r>
      <w:r>
        <w:rPr>
          <w:rFonts w:hint="eastAsia" w:ascii="仿宋_GB2312" w:hAnsi="仿宋_GB2312" w:eastAsia="仿宋_GB2312" w:cs="仿宋_GB2312"/>
          <w:color w:val="auto"/>
          <w:sz w:val="32"/>
          <w:szCs w:val="32"/>
          <w:lang w:val="en-US" w:eastAsia="zh-CN"/>
        </w:rPr>
        <w:t>加强未成年人思想道德建设，深入开展“扣好人生第一粒扣子”主题教育活动，2026年建成并投入使用“扶沟县中小学心理健康教育指导中心（心理健康辅导站）”</w:t>
      </w:r>
      <w:r>
        <w:rPr>
          <w:rFonts w:hint="eastAsia" w:ascii="Times New Roman" w:hAnsi="Times New Roman" w:eastAsia="仿宋_GB2312" w:cs="Times New Roman"/>
          <w:color w:val="auto"/>
          <w:kern w:val="2"/>
          <w:sz w:val="32"/>
          <w:szCs w:val="32"/>
          <w:highlight w:val="none"/>
          <w:u w:val="none"/>
          <w:lang w:val="en-US" w:eastAsia="zh-CN" w:bidi="ar"/>
        </w:rPr>
        <w:t>；加强志愿服务体系建设，开展社区服务、农业技术帮扶等志愿服务活动，营造文明和谐风尚。</w:t>
      </w:r>
    </w:p>
    <w:p w14:paraId="3B2AAC25">
      <w:pPr>
        <w:keepNext/>
        <w:keepLines/>
        <w:pageBreakBefore w:val="0"/>
        <w:widowControl w:val="0"/>
        <w:numPr>
          <w:ilvl w:val="0"/>
          <w:numId w:val="0"/>
        </w:numPr>
        <w:kinsoku/>
        <w:wordWrap/>
        <w:overflowPunct/>
        <w:topLinePunct w:val="0"/>
        <w:autoSpaceDE/>
        <w:autoSpaceDN/>
        <w:bidi w:val="0"/>
        <w:adjustRightInd w:val="0"/>
        <w:snapToGrid w:val="0"/>
        <w:spacing w:before="156" w:beforeLines="50" w:after="156" w:afterLines="50" w:line="560" w:lineRule="exact"/>
        <w:ind w:leftChars="0"/>
        <w:jc w:val="center"/>
        <w:textAlignment w:val="auto"/>
        <w:outlineLvl w:val="2"/>
        <w:rPr>
          <w:rFonts w:hint="eastAsia" w:ascii="Times New Roman" w:hAnsi="Times New Roman" w:eastAsia="黑体" w:cs="Times New Roman"/>
          <w:b/>
          <w:bCs/>
          <w:color w:val="auto"/>
          <w:kern w:val="2"/>
          <w:sz w:val="32"/>
          <w:szCs w:val="32"/>
          <w:highlight w:val="none"/>
          <w:u w:val="none"/>
          <w:lang w:val="en-US" w:eastAsia="zh-CN" w:bidi="ar-SA"/>
        </w:rPr>
      </w:pPr>
      <w:bookmarkStart w:id="235" w:name="_Toc11887"/>
      <w:bookmarkStart w:id="236" w:name="_Toc3376"/>
      <w:r>
        <w:rPr>
          <w:rFonts w:hint="eastAsia" w:ascii="Times New Roman" w:hAnsi="Times New Roman" w:eastAsia="黑体" w:cs="Times New Roman"/>
          <w:b/>
          <w:bCs/>
          <w:color w:val="auto"/>
          <w:kern w:val="2"/>
          <w:sz w:val="32"/>
          <w:szCs w:val="32"/>
          <w:highlight w:val="none"/>
          <w:u w:val="none"/>
          <w:lang w:val="en-US" w:eastAsia="zh-CN" w:bidi="ar-SA"/>
        </w:rPr>
        <w:t>第二节推动文化事业和文化产业发展</w:t>
      </w:r>
      <w:bookmarkEnd w:id="235"/>
      <w:bookmarkEnd w:id="236"/>
    </w:p>
    <w:p w14:paraId="04199949">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Times New Roman" w:hAnsi="Times New Roman" w:eastAsia="仿宋_GB2312" w:cs="Times New Roman"/>
          <w:b/>
          <w:bCs/>
          <w:color w:val="auto"/>
          <w:kern w:val="2"/>
          <w:sz w:val="32"/>
          <w:szCs w:val="32"/>
          <w:highlight w:val="none"/>
          <w:u w:val="none"/>
          <w:lang w:val="en-US" w:eastAsia="zh-CN" w:bidi="ar"/>
        </w:rPr>
        <w:t>加大文化事业投入，加强文化基础设施建设。</w:t>
      </w:r>
      <w:r>
        <w:rPr>
          <w:rFonts w:hint="eastAsia" w:ascii="Times New Roman" w:hAnsi="Times New Roman" w:eastAsia="仿宋_GB2312" w:cs="Times New Roman"/>
          <w:color w:val="auto"/>
          <w:kern w:val="2"/>
          <w:sz w:val="32"/>
          <w:szCs w:val="32"/>
          <w:highlight w:val="none"/>
          <w:u w:val="none"/>
          <w:lang w:val="en-US" w:eastAsia="zh-CN" w:bidi="ar"/>
        </w:rPr>
        <w:t>高标准规划建设综合性群众文化艺术活动中心、博物馆、美术馆、扶沟县新时代文明实践中心等一批现代化公共文化场馆；深化大程书院、吉鸿昌故居、吉鸿昌将军纪念馆、全生态蔬菜之都、贾鲁河沿线开发等核心资源保护利用，搭建“书院文化+红色文化+农耕文化+绿色生态文化”研学平台，打造豫东研学旅行目的地；推进县图书馆、文化馆总分馆和数字化建设，创新服务模式，利用数智技术搭建线上文化资源平台；建设扶亭街道综合文化服务中心和行政村文化广场，构建“县-乡-村”三级公共文化服务网络，实现村级文化服务中心全覆盖。</w:t>
      </w:r>
      <w:r>
        <w:rPr>
          <w:rFonts w:hint="eastAsia" w:ascii="Times New Roman" w:hAnsi="Times New Roman" w:eastAsia="仿宋_GB2312" w:cs="Times New Roman"/>
          <w:b/>
          <w:bCs/>
          <w:color w:val="auto"/>
          <w:kern w:val="2"/>
          <w:sz w:val="32"/>
          <w:szCs w:val="32"/>
          <w:highlight w:val="none"/>
          <w:u w:val="none"/>
          <w:lang w:val="en-US" w:eastAsia="zh-CN" w:bidi="ar"/>
        </w:rPr>
        <w:t>丰富公共文化产品供给，完善公共文化服务体系。</w:t>
      </w:r>
      <w:r>
        <w:rPr>
          <w:rFonts w:hint="eastAsia" w:ascii="Times New Roman" w:hAnsi="Times New Roman" w:eastAsia="仿宋_GB2312" w:cs="Times New Roman"/>
          <w:color w:val="auto"/>
          <w:kern w:val="2"/>
          <w:sz w:val="32"/>
          <w:szCs w:val="32"/>
          <w:highlight w:val="none"/>
          <w:u w:val="none"/>
          <w:lang w:val="en-US" w:eastAsia="zh-CN" w:bidi="ar"/>
        </w:rPr>
        <w:t>开展“文化惠民演出”“全民阅读书香扶沟”“舞台艺术送基层”“戏曲进校园”等活动，提高公共文化服务水平；加强文化遗产保护利用，传承中华优秀传统文化，开展文化遗产宣传展示、民间艺术民俗展演展示等活动。</w:t>
      </w:r>
      <w:r>
        <w:rPr>
          <w:rFonts w:hint="eastAsia" w:ascii="Times New Roman" w:hAnsi="Times New Roman" w:eastAsia="仿宋_GB2312" w:cs="Times New Roman"/>
          <w:b/>
          <w:bCs/>
          <w:color w:val="auto"/>
          <w:kern w:val="2"/>
          <w:sz w:val="32"/>
          <w:szCs w:val="32"/>
          <w:highlight w:val="none"/>
          <w:u w:val="none"/>
          <w:lang w:val="en-US" w:eastAsia="zh-CN" w:bidi="ar"/>
        </w:rPr>
        <w:t>推动文化产业发展，培育壮大市场主体。</w:t>
      </w:r>
      <w:r>
        <w:rPr>
          <w:rFonts w:hint="eastAsia" w:ascii="Times New Roman" w:hAnsi="Times New Roman" w:eastAsia="仿宋_GB2312" w:cs="Times New Roman"/>
          <w:color w:val="auto"/>
          <w:kern w:val="2"/>
          <w:sz w:val="32"/>
          <w:szCs w:val="32"/>
          <w:highlight w:val="none"/>
          <w:u w:val="none"/>
          <w:lang w:val="en-US" w:eastAsia="zh-CN" w:bidi="ar"/>
        </w:rPr>
        <w:t>打造3-5个具有扶沟特色的文化品牌（如蔬菜文化IP、农耕研学品牌），实施“文化+”工程，推动文化与农业、会展、旅游等行业的深度融合发展；依托大程文旅新城建设，打造集文化体验、休闲度假、文创展销于一体的文旅综合体，开发系列文创产品，形成全链条文化产业生态。</w:t>
      </w:r>
      <w:r>
        <w:rPr>
          <w:rFonts w:hint="eastAsia" w:ascii="Times New Roman" w:hAnsi="Times New Roman" w:eastAsia="仿宋_GB2312" w:cs="Times New Roman"/>
          <w:b/>
          <w:bCs/>
          <w:color w:val="auto"/>
          <w:kern w:val="2"/>
          <w:sz w:val="32"/>
          <w:szCs w:val="32"/>
          <w:highlight w:val="none"/>
          <w:u w:val="none"/>
          <w:lang w:val="en-US" w:eastAsia="zh-CN" w:bidi="ar"/>
        </w:rPr>
        <w:t>优化文化市场环境。</w:t>
      </w:r>
      <w:r>
        <w:rPr>
          <w:rFonts w:hint="eastAsia" w:ascii="Times New Roman" w:hAnsi="Times New Roman" w:eastAsia="仿宋_GB2312" w:cs="Times New Roman"/>
          <w:color w:val="auto"/>
          <w:kern w:val="2"/>
          <w:sz w:val="32"/>
          <w:szCs w:val="32"/>
          <w:highlight w:val="none"/>
          <w:u w:val="none"/>
          <w:lang w:val="en-US" w:eastAsia="zh-CN" w:bidi="ar"/>
        </w:rPr>
        <w:t>扶持民营文化企业发展，设立发展专项资金，加强文化人才引育。</w:t>
      </w:r>
      <w:r>
        <w:rPr>
          <w:rFonts w:hint="eastAsia" w:ascii="Times New Roman" w:hAnsi="Times New Roman" w:eastAsia="仿宋_GB2312" w:cs="Times New Roman"/>
          <w:b/>
          <w:bCs/>
          <w:color w:val="auto"/>
          <w:kern w:val="2"/>
          <w:sz w:val="32"/>
          <w:szCs w:val="32"/>
          <w:highlight w:val="none"/>
          <w:u w:val="none"/>
          <w:lang w:val="en-US" w:eastAsia="zh-CN" w:bidi="ar"/>
        </w:rPr>
        <w:t>深化区域文化合作。</w:t>
      </w:r>
      <w:r>
        <w:rPr>
          <w:rFonts w:hint="eastAsia" w:ascii="Times New Roman" w:hAnsi="Times New Roman" w:eastAsia="仿宋_GB2312" w:cs="Times New Roman"/>
          <w:color w:val="auto"/>
          <w:kern w:val="2"/>
          <w:sz w:val="32"/>
          <w:szCs w:val="32"/>
          <w:highlight w:val="none"/>
          <w:u w:val="none"/>
          <w:lang w:val="en-US" w:eastAsia="zh-CN" w:bidi="ar"/>
        </w:rPr>
        <w:t>主动融入周口、河南文化发展布局，通过节会、展览、交流等形式提升扶沟文化影响力。</w:t>
      </w:r>
    </w:p>
    <w:p w14:paraId="402CF405">
      <w:pPr>
        <w:keepNext/>
        <w:keepLines/>
        <w:pageBreakBefore w:val="0"/>
        <w:widowControl w:val="0"/>
        <w:numPr>
          <w:ilvl w:val="0"/>
          <w:numId w:val="0"/>
        </w:numPr>
        <w:kinsoku/>
        <w:wordWrap/>
        <w:overflowPunct/>
        <w:topLinePunct w:val="0"/>
        <w:autoSpaceDE/>
        <w:autoSpaceDN/>
        <w:bidi w:val="0"/>
        <w:adjustRightInd w:val="0"/>
        <w:snapToGrid w:val="0"/>
        <w:spacing w:before="156" w:beforeLines="50" w:after="156" w:afterLines="50" w:line="560" w:lineRule="exact"/>
        <w:ind w:leftChars="0"/>
        <w:jc w:val="center"/>
        <w:textAlignment w:val="auto"/>
        <w:outlineLvl w:val="2"/>
        <w:rPr>
          <w:rFonts w:hint="eastAsia" w:ascii="Times New Roman" w:hAnsi="Times New Roman" w:eastAsia="黑体" w:cs="Times New Roman"/>
          <w:b/>
          <w:bCs/>
          <w:color w:val="auto"/>
          <w:kern w:val="2"/>
          <w:sz w:val="32"/>
          <w:szCs w:val="32"/>
          <w:highlight w:val="none"/>
          <w:u w:val="none"/>
          <w:lang w:val="en-US" w:eastAsia="zh-CN" w:bidi="ar-SA"/>
        </w:rPr>
      </w:pPr>
      <w:bookmarkStart w:id="237" w:name="_Toc11225"/>
      <w:bookmarkStart w:id="238" w:name="_Toc18660"/>
      <w:r>
        <w:rPr>
          <w:rFonts w:hint="eastAsia" w:ascii="Times New Roman" w:hAnsi="Times New Roman" w:eastAsia="黑体" w:cs="Times New Roman"/>
          <w:b/>
          <w:bCs/>
          <w:color w:val="auto"/>
          <w:kern w:val="2"/>
          <w:sz w:val="32"/>
          <w:szCs w:val="32"/>
          <w:highlight w:val="none"/>
          <w:u w:val="none"/>
          <w:lang w:val="en-US" w:eastAsia="zh-CN" w:bidi="ar-SA"/>
        </w:rPr>
        <w:t>第三节加强非遗传承保护与活化利用</w:t>
      </w:r>
      <w:bookmarkEnd w:id="237"/>
      <w:bookmarkEnd w:id="238"/>
    </w:p>
    <w:p w14:paraId="57D07EA2">
      <w:pPr>
        <w:keepNext w:val="0"/>
        <w:keepLines w:val="0"/>
        <w:pageBreakBefore w:val="0"/>
        <w:widowControl w:val="0"/>
        <w:kinsoku/>
        <w:wordWrap/>
        <w:overflowPunct/>
        <w:topLinePunct w:val="0"/>
        <w:autoSpaceDE/>
        <w:autoSpaceDN/>
        <w:bidi w:val="0"/>
        <w:adjustRightInd w:val="0"/>
        <w:snapToGrid w:val="0"/>
        <w:spacing w:after="721" w:afterLines="200" w:line="560" w:lineRule="exact"/>
        <w:ind w:firstLine="643"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Times New Roman" w:hAnsi="Times New Roman" w:eastAsia="仿宋_GB2312" w:cs="Times New Roman"/>
          <w:b/>
          <w:bCs/>
          <w:color w:val="auto"/>
          <w:kern w:val="2"/>
          <w:sz w:val="32"/>
          <w:szCs w:val="32"/>
          <w:highlight w:val="none"/>
          <w:u w:val="none"/>
          <w:lang w:val="en-US" w:eastAsia="zh-CN" w:bidi="ar"/>
        </w:rPr>
        <w:t>夯实保护根基。</w:t>
      </w:r>
      <w:r>
        <w:rPr>
          <w:rFonts w:hint="eastAsia" w:ascii="Times New Roman" w:hAnsi="Times New Roman" w:eastAsia="仿宋_GB2312" w:cs="Times New Roman"/>
          <w:color w:val="auto"/>
          <w:kern w:val="2"/>
          <w:sz w:val="32"/>
          <w:szCs w:val="32"/>
          <w:highlight w:val="none"/>
          <w:u w:val="none"/>
          <w:lang w:val="en-US" w:eastAsia="zh-CN" w:bidi="ar"/>
        </w:rPr>
        <w:t>开展全县非遗资源普查、搜集、整理，建立非遗保护名录与数字化档案库；设立非遗保护专项资金，支持各级传承人开展技艺研习。</w:t>
      </w:r>
      <w:r>
        <w:rPr>
          <w:rFonts w:hint="eastAsia" w:ascii="Times New Roman" w:hAnsi="Times New Roman" w:eastAsia="仿宋_GB2312" w:cs="Times New Roman"/>
          <w:b/>
          <w:bCs/>
          <w:color w:val="auto"/>
          <w:kern w:val="2"/>
          <w:sz w:val="32"/>
          <w:szCs w:val="32"/>
          <w:highlight w:val="none"/>
          <w:u w:val="none"/>
          <w:lang w:val="en-US" w:eastAsia="zh-CN" w:bidi="ar"/>
        </w:rPr>
        <w:t>健全传承体系。</w:t>
      </w:r>
      <w:r>
        <w:rPr>
          <w:rFonts w:hint="eastAsia" w:ascii="Times New Roman" w:hAnsi="Times New Roman" w:eastAsia="仿宋_GB2312" w:cs="Times New Roman"/>
          <w:color w:val="auto"/>
          <w:kern w:val="2"/>
          <w:sz w:val="32"/>
          <w:szCs w:val="32"/>
          <w:highlight w:val="none"/>
          <w:u w:val="none"/>
          <w:lang w:val="en-US" w:eastAsia="zh-CN" w:bidi="ar"/>
        </w:rPr>
        <w:t>实施“非遗进校园进社区”工程，将重点非遗项目纳入中小学美育课程；建立传承人培养机制，培育青年传承人，壮大各级非遗项目的技艺传承队伍。</w:t>
      </w:r>
      <w:r>
        <w:rPr>
          <w:rFonts w:hint="eastAsia" w:ascii="Times New Roman" w:hAnsi="Times New Roman" w:eastAsia="仿宋_GB2312" w:cs="Times New Roman"/>
          <w:b/>
          <w:bCs/>
          <w:color w:val="auto"/>
          <w:kern w:val="2"/>
          <w:sz w:val="32"/>
          <w:szCs w:val="32"/>
          <w:highlight w:val="none"/>
          <w:u w:val="none"/>
          <w:lang w:val="en-US" w:eastAsia="zh-CN" w:bidi="ar"/>
        </w:rPr>
        <w:t>推动创新转化。</w:t>
      </w:r>
      <w:r>
        <w:rPr>
          <w:rFonts w:hint="eastAsia" w:ascii="Times New Roman" w:hAnsi="Times New Roman" w:eastAsia="仿宋_GB2312" w:cs="Times New Roman"/>
          <w:color w:val="auto"/>
          <w:kern w:val="2"/>
          <w:sz w:val="32"/>
          <w:szCs w:val="32"/>
          <w:highlight w:val="none"/>
          <w:u w:val="none"/>
          <w:lang w:val="en-US" w:eastAsia="zh-CN" w:bidi="ar"/>
        </w:rPr>
        <w:t>深挖非遗文化价值，开发草编、农耕主题纪念品等文创产品，对接电商平台拓宽销路；深化文旅融合，实施“非遗+旅游’工程，以牛肉制作、唢呐、戏曲、烧酒、草编、麦秆画、葫芦烙画等民间艺术为基础，打造非遗文化研学基地，构建特色文旅线路。</w:t>
      </w:r>
      <w:r>
        <w:rPr>
          <w:rFonts w:hint="eastAsia" w:ascii="Times New Roman" w:hAnsi="Times New Roman" w:eastAsia="仿宋_GB2312" w:cs="Times New Roman"/>
          <w:b/>
          <w:bCs/>
          <w:color w:val="auto"/>
          <w:kern w:val="2"/>
          <w:sz w:val="32"/>
          <w:szCs w:val="32"/>
          <w:highlight w:val="none"/>
          <w:u w:val="none"/>
          <w:lang w:val="en-US" w:eastAsia="zh-CN" w:bidi="ar"/>
        </w:rPr>
        <w:t>强化宣传传播。</w:t>
      </w:r>
      <w:r>
        <w:rPr>
          <w:rFonts w:hint="eastAsia" w:ascii="Times New Roman" w:hAnsi="Times New Roman" w:eastAsia="仿宋_GB2312" w:cs="Times New Roman"/>
          <w:color w:val="auto"/>
          <w:kern w:val="2"/>
          <w:sz w:val="32"/>
          <w:szCs w:val="32"/>
          <w:highlight w:val="none"/>
          <w:u w:val="none"/>
          <w:lang w:val="en-US" w:eastAsia="zh-CN" w:bidi="ar"/>
        </w:rPr>
        <w:t>建设县级非遗展示馆，集中展示各类非遗项目实物与传承故事；利用文化和自然遗产日和传统节日举办非遗展演展示活动，借助抖音、今日头条、快手等新媒体平台宣传推广非遗技艺。通过政策引导、传承人培育、产业融合等路径，增强群众文化认同，推动非遗“活态传承”。</w:t>
      </w:r>
    </w:p>
    <w:tbl>
      <w:tblPr>
        <w:tblStyle w:val="2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74"/>
      </w:tblGrid>
      <w:tr w14:paraId="1A3220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jc w:val="center"/>
        </w:trPr>
        <w:tc>
          <w:tcPr>
            <w:tcW w:w="8674" w:type="dxa"/>
            <w:noWrap w:val="0"/>
            <w:vAlign w:val="center"/>
          </w:tcPr>
          <w:p w14:paraId="71669710">
            <w:pPr>
              <w:keepNext w:val="0"/>
              <w:keepLines w:val="0"/>
              <w:pageBreakBefore w:val="0"/>
              <w:widowControl w:val="0"/>
              <w:suppressLineNumbers w:val="0"/>
              <w:kinsoku/>
              <w:wordWrap/>
              <w:overflowPunct/>
              <w:topLinePunct w:val="0"/>
              <w:autoSpaceDE/>
              <w:autoSpaceDN/>
              <w:bidi w:val="0"/>
              <w:adjustRightInd w:val="0"/>
              <w:snapToGrid w:val="0"/>
              <w:spacing w:beforeAutospacing="0" w:afterAutospacing="0" w:line="400" w:lineRule="exact"/>
              <w:ind w:left="0" w:right="0" w:firstLine="0" w:firstLineChars="0"/>
              <w:jc w:val="center"/>
              <w:textAlignment w:val="auto"/>
              <w:rPr>
                <w:rFonts w:hint="default" w:ascii="Times New Roman" w:hAnsi="Times New Roman" w:eastAsia="仿宋" w:cs="Times New Roman"/>
                <w:color w:val="auto"/>
                <w:sz w:val="28"/>
                <w:szCs w:val="28"/>
                <w:highlight w:val="none"/>
                <w:u w:val="none"/>
                <w:shd w:val="clear" w:color="auto" w:fill="FFFFFF"/>
              </w:rPr>
            </w:pPr>
            <w:r>
              <w:rPr>
                <w:rFonts w:hint="eastAsia" w:ascii="楷体_GB2312" w:hAnsi="楷体_GB2312" w:eastAsia="楷体_GB2312" w:cs="楷体_GB2312"/>
                <w:b/>
                <w:bCs w:val="0"/>
                <w:color w:val="auto"/>
                <w:sz w:val="28"/>
                <w:szCs w:val="28"/>
                <w:highlight w:val="none"/>
                <w:u w:val="none"/>
                <w:shd w:val="clear" w:color="auto" w:fill="FFFFFF"/>
                <w:lang w:val="en-US" w:eastAsia="zh-CN"/>
              </w:rPr>
              <w:t>专栏11-1：“十五五”期间公共文化重点项目</w:t>
            </w:r>
          </w:p>
        </w:tc>
      </w:tr>
      <w:tr w14:paraId="4A38A4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jc w:val="center"/>
        </w:trPr>
        <w:tc>
          <w:tcPr>
            <w:tcW w:w="8674" w:type="dxa"/>
            <w:noWrap w:val="0"/>
            <w:vAlign w:val="center"/>
          </w:tcPr>
          <w:p w14:paraId="68F02C63">
            <w:pPr>
              <w:keepNext w:val="0"/>
              <w:keepLines w:val="0"/>
              <w:pageBreakBefore w:val="0"/>
              <w:widowControl w:val="0"/>
              <w:suppressLineNumbers w:val="0"/>
              <w:kinsoku/>
              <w:wordWrap/>
              <w:overflowPunct/>
              <w:topLinePunct w:val="0"/>
              <w:autoSpaceDE/>
              <w:autoSpaceDN/>
              <w:bidi w:val="0"/>
              <w:adjustRightInd w:val="0"/>
              <w:snapToGrid w:val="0"/>
              <w:spacing w:beforeAutospacing="0" w:afterAutospacing="0" w:line="400" w:lineRule="exact"/>
              <w:ind w:left="0" w:right="0" w:firstLine="560" w:firstLineChars="200"/>
              <w:jc w:val="both"/>
              <w:textAlignment w:val="auto"/>
              <w:rPr>
                <w:rFonts w:hint="eastAsia" w:ascii="Times New Roman" w:hAnsi="Times New Roman" w:eastAsia="仿宋_GB2312" w:cs="Times New Roman"/>
                <w:b w:val="0"/>
                <w:bCs w:val="0"/>
                <w:color w:val="auto"/>
                <w:kern w:val="2"/>
                <w:sz w:val="28"/>
                <w:szCs w:val="28"/>
                <w:highlight w:val="none"/>
                <w:u w:val="none"/>
                <w:lang w:val="en-US" w:eastAsia="zh-CN" w:bidi="ar-SA"/>
              </w:rPr>
            </w:pPr>
            <w:r>
              <w:rPr>
                <w:rFonts w:hint="eastAsia" w:ascii="Times New Roman" w:hAnsi="Times New Roman" w:eastAsia="仿宋_GB2312" w:cs="Times New Roman"/>
                <w:b w:val="0"/>
                <w:bCs w:val="0"/>
                <w:color w:val="auto"/>
                <w:kern w:val="2"/>
                <w:sz w:val="28"/>
                <w:szCs w:val="28"/>
                <w:highlight w:val="none"/>
                <w:u w:val="none"/>
                <w:lang w:val="en-US" w:eastAsia="zh-CN" w:bidi="ar-SA"/>
              </w:rPr>
              <w:t>（一）扶沟县群众文化艺术中心建设项目</w:t>
            </w:r>
          </w:p>
          <w:p w14:paraId="713DEEB6">
            <w:pPr>
              <w:keepNext w:val="0"/>
              <w:keepLines w:val="0"/>
              <w:pageBreakBefore w:val="0"/>
              <w:widowControl w:val="0"/>
              <w:suppressLineNumbers w:val="0"/>
              <w:kinsoku/>
              <w:wordWrap/>
              <w:overflowPunct/>
              <w:topLinePunct w:val="0"/>
              <w:autoSpaceDE/>
              <w:autoSpaceDN/>
              <w:bidi w:val="0"/>
              <w:adjustRightInd w:val="0"/>
              <w:snapToGrid w:val="0"/>
              <w:spacing w:beforeAutospacing="0" w:afterAutospacing="0" w:line="400" w:lineRule="exact"/>
              <w:ind w:left="0" w:right="0" w:firstLine="560" w:firstLineChars="200"/>
              <w:jc w:val="both"/>
              <w:textAlignment w:val="auto"/>
              <w:rPr>
                <w:rFonts w:hint="eastAsia" w:ascii="Times New Roman" w:hAnsi="Times New Roman" w:eastAsia="仿宋_GB2312" w:cs="Times New Roman"/>
                <w:b w:val="0"/>
                <w:bCs w:val="0"/>
                <w:color w:val="auto"/>
                <w:kern w:val="2"/>
                <w:sz w:val="28"/>
                <w:szCs w:val="28"/>
                <w:highlight w:val="none"/>
                <w:u w:val="none"/>
                <w:lang w:val="en-US" w:eastAsia="zh-CN" w:bidi="ar-SA"/>
              </w:rPr>
            </w:pPr>
            <w:r>
              <w:rPr>
                <w:rFonts w:hint="eastAsia" w:ascii="Times New Roman" w:hAnsi="Times New Roman" w:eastAsia="仿宋_GB2312" w:cs="Times New Roman"/>
                <w:b w:val="0"/>
                <w:bCs w:val="0"/>
                <w:color w:val="auto"/>
                <w:kern w:val="2"/>
                <w:sz w:val="28"/>
                <w:szCs w:val="28"/>
                <w:highlight w:val="none"/>
                <w:u w:val="none"/>
                <w:lang w:val="en-US" w:eastAsia="zh-CN" w:bidi="ar-SA"/>
              </w:rPr>
              <w:t>在城区选址建设扶沟县群众文化艺术中心，建设内容包括图书阅览中心、文化活动中心、大剧院、音乐厅、展览厅、文化创意产业孵化中心等功能区域。图书阅览中心重点建设综合阅览区、借阅区、藏书库、自习室等，配套建设报告厅、培训室、文创展示区、残障人士专用阅览区等；兼顾普及性与实用性，按照每千人1500-2000册标准配置社科、文学、科技少儿、地方文献等书籍，高标准配备先进图书管理系统(借阅查重、盘点等)、电子阅览设备(电子阅读器、VR阅读设备、多媒体播放设备等)、Wi-Fi覆盖、自助借还机等，为开展全民阅读、打造书香扶沟提供平台支撑。文化活动中心重点建设多功能剧场、排练厅，不同类别的展览厅、培训室、活动室，非遗展馆非遗传承工作室、文化创意中心、老年活动中心、青少年活动中心、残障人士活动中心等，满足演出、讲座、展览、阅读培训、比赛、文创孵化、线上线下服务等多种文化服务功能，丰富人民群众的精神文化生活，为县域经济社会高质量发展提振士气、凝聚人心，提供强大文化支撑。大剧院可容纳2000名观众，配备先进的舞台设备和音响灯光系统，满足各类大型文艺演出和会议需求；音乐厅按照专业标准设计，具备举办高品质音乐会的条件；展览厅用于举办各类艺术展览，展示扶沟县的文化艺术成果；化创意产业孵化基地为文化创意企业和创业者提供办公场地、创业指导、技术支持等服务，促进文化创意产业发展。</w:t>
            </w:r>
          </w:p>
          <w:p w14:paraId="15C083B5">
            <w:pPr>
              <w:keepNext w:val="0"/>
              <w:keepLines w:val="0"/>
              <w:pageBreakBefore w:val="0"/>
              <w:widowControl w:val="0"/>
              <w:suppressLineNumbers w:val="0"/>
              <w:kinsoku/>
              <w:wordWrap/>
              <w:overflowPunct/>
              <w:topLinePunct w:val="0"/>
              <w:autoSpaceDE/>
              <w:autoSpaceDN/>
              <w:bidi w:val="0"/>
              <w:adjustRightInd w:val="0"/>
              <w:snapToGrid w:val="0"/>
              <w:spacing w:beforeAutospacing="0" w:afterAutospacing="0" w:line="400" w:lineRule="exact"/>
              <w:ind w:left="0" w:right="0" w:firstLine="560" w:firstLineChars="200"/>
              <w:jc w:val="both"/>
              <w:textAlignment w:val="auto"/>
              <w:rPr>
                <w:rFonts w:hint="eastAsia" w:ascii="Times New Roman" w:hAnsi="Times New Roman" w:eastAsia="仿宋_GB2312" w:cs="Times New Roman"/>
                <w:b w:val="0"/>
                <w:bCs w:val="0"/>
                <w:color w:val="auto"/>
                <w:kern w:val="2"/>
                <w:sz w:val="28"/>
                <w:szCs w:val="28"/>
                <w:highlight w:val="none"/>
                <w:u w:val="none"/>
                <w:lang w:val="en-US" w:eastAsia="zh-CN" w:bidi="ar-SA"/>
              </w:rPr>
            </w:pPr>
            <w:r>
              <w:rPr>
                <w:rFonts w:hint="eastAsia" w:ascii="Times New Roman" w:hAnsi="Times New Roman" w:eastAsia="仿宋_GB2312" w:cs="Times New Roman"/>
                <w:b w:val="0"/>
                <w:bCs w:val="0"/>
                <w:color w:val="auto"/>
                <w:kern w:val="2"/>
                <w:sz w:val="28"/>
                <w:szCs w:val="28"/>
                <w:highlight w:val="none"/>
                <w:u w:val="none"/>
                <w:lang w:val="en-US" w:eastAsia="zh-CN" w:bidi="ar-SA"/>
              </w:rPr>
              <w:t>（二）乡镇(街道)文化服务中心提升工程</w:t>
            </w:r>
          </w:p>
          <w:p w14:paraId="3882DA56">
            <w:pPr>
              <w:keepNext w:val="0"/>
              <w:keepLines w:val="0"/>
              <w:pageBreakBefore w:val="0"/>
              <w:widowControl w:val="0"/>
              <w:suppressLineNumbers w:val="0"/>
              <w:kinsoku/>
              <w:wordWrap/>
              <w:overflowPunct/>
              <w:topLinePunct w:val="0"/>
              <w:autoSpaceDE/>
              <w:autoSpaceDN/>
              <w:bidi w:val="0"/>
              <w:adjustRightInd w:val="0"/>
              <w:snapToGrid w:val="0"/>
              <w:spacing w:beforeAutospacing="0" w:afterAutospacing="0" w:line="400" w:lineRule="exact"/>
              <w:ind w:left="0" w:right="0" w:firstLine="560" w:firstLineChars="200"/>
              <w:jc w:val="both"/>
              <w:textAlignment w:val="auto"/>
              <w:rPr>
                <w:rFonts w:hint="eastAsia" w:ascii="Times New Roman" w:hAnsi="Times New Roman" w:eastAsia="仿宋_GB2312" w:cs="Times New Roman"/>
                <w:b w:val="0"/>
                <w:bCs w:val="0"/>
                <w:color w:val="auto"/>
                <w:kern w:val="2"/>
                <w:sz w:val="28"/>
                <w:szCs w:val="28"/>
                <w:highlight w:val="none"/>
                <w:u w:val="none"/>
                <w:lang w:val="en-US" w:eastAsia="zh-CN" w:bidi="ar-SA"/>
              </w:rPr>
            </w:pPr>
            <w:r>
              <w:rPr>
                <w:rFonts w:hint="eastAsia" w:ascii="Times New Roman" w:hAnsi="Times New Roman" w:eastAsia="仿宋_GB2312" w:cs="Times New Roman"/>
                <w:b w:val="0"/>
                <w:bCs w:val="0"/>
                <w:color w:val="auto"/>
                <w:kern w:val="2"/>
                <w:sz w:val="28"/>
                <w:szCs w:val="28"/>
                <w:highlight w:val="none"/>
                <w:u w:val="none"/>
                <w:lang w:val="en-US" w:eastAsia="zh-CN" w:bidi="ar-SA"/>
              </w:rPr>
              <w:t>对全县16个乡镇(街道)文化服务中心进行全面提升改造，每个文化服务中心建筑面积不低于300平方米，按照“八个一”标准进行建设，即一个多功能活动室、一个图书阅览室、一个文化信息资源共享工程服务室、一个电子阅览室、一个文化培训室、一个文体广场、一个水冲式厕所、一支文化志愿者队伍。完善文化站的设施设备，配备电脑、投影仪、音响、图书乐器等设备，满足群众开展各类文化活动的需求。</w:t>
            </w:r>
          </w:p>
          <w:p w14:paraId="0DAB516D">
            <w:pPr>
              <w:keepNext w:val="0"/>
              <w:keepLines w:val="0"/>
              <w:pageBreakBefore w:val="0"/>
              <w:widowControl w:val="0"/>
              <w:suppressLineNumbers w:val="0"/>
              <w:kinsoku/>
              <w:wordWrap/>
              <w:overflowPunct/>
              <w:topLinePunct w:val="0"/>
              <w:autoSpaceDE/>
              <w:autoSpaceDN/>
              <w:bidi w:val="0"/>
              <w:adjustRightInd w:val="0"/>
              <w:snapToGrid w:val="0"/>
              <w:spacing w:beforeAutospacing="0" w:afterAutospacing="0" w:line="400" w:lineRule="exact"/>
              <w:ind w:left="0" w:right="0" w:firstLine="560" w:firstLineChars="200"/>
              <w:jc w:val="both"/>
              <w:textAlignment w:val="auto"/>
              <w:rPr>
                <w:rFonts w:hint="eastAsia" w:ascii="Times New Roman" w:hAnsi="Times New Roman" w:eastAsia="仿宋_GB2312" w:cs="Times New Roman"/>
                <w:b w:val="0"/>
                <w:bCs w:val="0"/>
                <w:color w:val="auto"/>
                <w:kern w:val="2"/>
                <w:sz w:val="28"/>
                <w:szCs w:val="28"/>
                <w:highlight w:val="none"/>
                <w:u w:val="none"/>
                <w:lang w:val="en-US" w:eastAsia="zh-CN" w:bidi="ar-SA"/>
              </w:rPr>
            </w:pPr>
            <w:r>
              <w:rPr>
                <w:rFonts w:hint="eastAsia" w:ascii="Times New Roman" w:hAnsi="Times New Roman" w:eastAsia="仿宋_GB2312" w:cs="Times New Roman"/>
                <w:b w:val="0"/>
                <w:bCs w:val="0"/>
                <w:color w:val="auto"/>
                <w:kern w:val="2"/>
                <w:sz w:val="28"/>
                <w:szCs w:val="28"/>
                <w:highlight w:val="none"/>
                <w:u w:val="none"/>
                <w:lang w:val="en-US" w:eastAsia="zh-CN" w:bidi="ar-SA"/>
              </w:rPr>
              <w:t>（三）村级(社区)综合性文化服务中心数字化建设项目</w:t>
            </w:r>
          </w:p>
          <w:p w14:paraId="2C1F4B9C">
            <w:pPr>
              <w:keepNext w:val="0"/>
              <w:keepLines w:val="0"/>
              <w:pageBreakBefore w:val="0"/>
              <w:widowControl w:val="0"/>
              <w:suppressLineNumbers w:val="0"/>
              <w:kinsoku/>
              <w:wordWrap/>
              <w:overflowPunct/>
              <w:topLinePunct w:val="0"/>
              <w:autoSpaceDE/>
              <w:autoSpaceDN/>
              <w:bidi w:val="0"/>
              <w:adjustRightInd w:val="0"/>
              <w:snapToGrid w:val="0"/>
              <w:spacing w:beforeAutospacing="0" w:afterAutospacing="0" w:line="400" w:lineRule="exact"/>
              <w:ind w:left="0" w:right="0" w:firstLine="560" w:firstLineChars="200"/>
              <w:jc w:val="both"/>
              <w:textAlignment w:val="auto"/>
              <w:rPr>
                <w:rFonts w:hint="eastAsia" w:ascii="Times New Roman" w:hAnsi="Times New Roman" w:eastAsia="仿宋_GB2312" w:cs="Times New Roman"/>
                <w:b w:val="0"/>
                <w:bCs w:val="0"/>
                <w:color w:val="auto"/>
                <w:kern w:val="2"/>
                <w:sz w:val="28"/>
                <w:szCs w:val="28"/>
                <w:highlight w:val="none"/>
                <w:u w:val="none"/>
                <w:lang w:val="en-US" w:eastAsia="zh-CN" w:bidi="ar-SA"/>
              </w:rPr>
            </w:pPr>
            <w:r>
              <w:rPr>
                <w:rFonts w:hint="eastAsia" w:ascii="Times New Roman" w:hAnsi="Times New Roman" w:eastAsia="仿宋_GB2312" w:cs="Times New Roman"/>
                <w:b w:val="0"/>
                <w:bCs w:val="0"/>
                <w:color w:val="auto"/>
                <w:kern w:val="2"/>
                <w:sz w:val="28"/>
                <w:szCs w:val="28"/>
                <w:highlight w:val="none"/>
                <w:u w:val="none"/>
                <w:lang w:val="en-US" w:eastAsia="zh-CN" w:bidi="ar-SA"/>
              </w:rPr>
              <w:t>为全县413个村级(社区)综合性文化服务中心配备数字化设备，包括智能终端、数字投影仪、音响等，接入互联网，实现文化资源的数字化传输和共享。建设村级(社区)数字文化服务平台，整合文化活动信息、图书资源、教育培训资源等，为群众提供便捷的数字文化服务。开展数字文化服务培训，提高基层文化工作人员和群众的数字文化素养和应用能力。</w:t>
            </w:r>
          </w:p>
          <w:p w14:paraId="2010AD60">
            <w:pPr>
              <w:keepNext w:val="0"/>
              <w:keepLines w:val="0"/>
              <w:pageBreakBefore w:val="0"/>
              <w:widowControl w:val="0"/>
              <w:suppressLineNumbers w:val="0"/>
              <w:kinsoku/>
              <w:wordWrap/>
              <w:overflowPunct/>
              <w:topLinePunct w:val="0"/>
              <w:autoSpaceDE/>
              <w:autoSpaceDN/>
              <w:bidi w:val="0"/>
              <w:adjustRightInd w:val="0"/>
              <w:snapToGrid w:val="0"/>
              <w:spacing w:beforeAutospacing="0" w:afterAutospacing="0" w:line="400" w:lineRule="exact"/>
              <w:ind w:left="0" w:right="0" w:firstLine="560" w:firstLineChars="200"/>
              <w:jc w:val="both"/>
              <w:textAlignment w:val="auto"/>
              <w:rPr>
                <w:rFonts w:hint="eastAsia" w:ascii="Times New Roman" w:hAnsi="Times New Roman" w:eastAsia="仿宋_GB2312" w:cs="Times New Roman"/>
                <w:b w:val="0"/>
                <w:bCs w:val="0"/>
                <w:color w:val="auto"/>
                <w:kern w:val="2"/>
                <w:sz w:val="28"/>
                <w:szCs w:val="28"/>
                <w:highlight w:val="none"/>
                <w:u w:val="none"/>
                <w:lang w:val="en-US" w:eastAsia="zh-CN" w:bidi="ar-SA"/>
              </w:rPr>
            </w:pPr>
            <w:r>
              <w:rPr>
                <w:rFonts w:hint="eastAsia" w:ascii="Times New Roman" w:hAnsi="Times New Roman" w:eastAsia="仿宋_GB2312" w:cs="Times New Roman"/>
                <w:b w:val="0"/>
                <w:bCs w:val="0"/>
                <w:color w:val="auto"/>
                <w:kern w:val="2"/>
                <w:sz w:val="28"/>
                <w:szCs w:val="28"/>
                <w:highlight w:val="none"/>
                <w:u w:val="none"/>
                <w:lang w:val="en-US" w:eastAsia="zh-CN" w:bidi="ar-SA"/>
              </w:rPr>
              <w:t>（四）扶沟县全民健身设施补短板工程</w:t>
            </w:r>
          </w:p>
          <w:p w14:paraId="31ABE13B">
            <w:pPr>
              <w:keepNext w:val="0"/>
              <w:keepLines w:val="0"/>
              <w:pageBreakBefore w:val="0"/>
              <w:widowControl w:val="0"/>
              <w:suppressLineNumbers w:val="0"/>
              <w:kinsoku/>
              <w:wordWrap/>
              <w:overflowPunct/>
              <w:topLinePunct w:val="0"/>
              <w:autoSpaceDE/>
              <w:autoSpaceDN/>
              <w:bidi w:val="0"/>
              <w:adjustRightInd w:val="0"/>
              <w:snapToGrid w:val="0"/>
              <w:spacing w:beforeAutospacing="0" w:afterAutospacing="0" w:line="400" w:lineRule="exact"/>
              <w:ind w:left="0" w:right="0" w:firstLine="560" w:firstLineChars="200"/>
              <w:jc w:val="both"/>
              <w:textAlignment w:val="auto"/>
              <w:rPr>
                <w:rFonts w:hint="eastAsia"/>
                <w:lang w:val="en-US" w:eastAsia="zh-CN"/>
              </w:rPr>
            </w:pPr>
            <w:r>
              <w:rPr>
                <w:rFonts w:hint="eastAsia" w:ascii="Times New Roman" w:hAnsi="Times New Roman" w:eastAsia="仿宋_GB2312" w:cs="Times New Roman"/>
                <w:b w:val="0"/>
                <w:bCs w:val="0"/>
                <w:color w:val="auto"/>
                <w:kern w:val="2"/>
                <w:sz w:val="28"/>
                <w:szCs w:val="28"/>
                <w:highlight w:val="none"/>
                <w:u w:val="none"/>
                <w:lang w:val="en-US" w:eastAsia="zh-CN" w:bidi="ar-SA"/>
              </w:rPr>
              <w:t>在城区和乡镇建设一批全民健身设施，包括体育公园、健身步道、多功能运动场等。在县城新建1-2个体育公园，每个体育公园占地面积不低于20亩，配备各类体育健身器材、休闲设施和绿化景观；建设5公里以上的健身步道，串联县城的公园、景区、社区等，形成便捷的健身步道网络；在城市社区和乡镇建设多功能运动场，满足群众的足球、篮球、羽毛球等球类运动需求。</w:t>
            </w:r>
          </w:p>
        </w:tc>
      </w:tr>
    </w:tbl>
    <w:p w14:paraId="38B30C4F">
      <w:pPr>
        <w:keepNext/>
        <w:keepLines/>
        <w:pageBreakBefore w:val="0"/>
        <w:widowControl w:val="0"/>
        <w:numPr>
          <w:ilvl w:val="0"/>
          <w:numId w:val="0"/>
        </w:numPr>
        <w:kinsoku/>
        <w:wordWrap/>
        <w:overflowPunct/>
        <w:topLinePunct w:val="0"/>
        <w:autoSpaceDE/>
        <w:autoSpaceDN/>
        <w:bidi w:val="0"/>
        <w:adjustRightInd w:val="0"/>
        <w:snapToGrid w:val="0"/>
        <w:spacing w:before="541" w:beforeLines="150" w:after="439" w:afterLines="100" w:line="560" w:lineRule="exact"/>
        <w:ind w:leftChars="0"/>
        <w:jc w:val="center"/>
        <w:textAlignment w:val="auto"/>
        <w:outlineLvl w:val="1"/>
        <w:rPr>
          <w:rFonts w:hint="eastAsia" w:ascii="Times New Roman" w:hAnsi="Times New Roman" w:eastAsia="方正小标宋_GBK" w:cs="Times New Roman"/>
          <w:b/>
          <w:color w:val="auto"/>
          <w:kern w:val="2"/>
          <w:sz w:val="36"/>
          <w:szCs w:val="36"/>
          <w:highlight w:val="none"/>
          <w:u w:val="none"/>
          <w:lang w:val="en-US" w:eastAsia="zh-CN" w:bidi="ar-SA"/>
        </w:rPr>
      </w:pPr>
      <w:bookmarkStart w:id="239" w:name="_Toc22889"/>
      <w:bookmarkStart w:id="240" w:name="_Toc27785"/>
      <w:r>
        <w:rPr>
          <w:rFonts w:hint="eastAsia" w:ascii="Times New Roman" w:hAnsi="Times New Roman" w:eastAsia="方正小标宋_GBK" w:cs="Times New Roman"/>
          <w:b/>
          <w:color w:val="auto"/>
          <w:kern w:val="2"/>
          <w:sz w:val="36"/>
          <w:szCs w:val="36"/>
          <w:highlight w:val="none"/>
          <w:u w:val="none"/>
          <w:lang w:val="en-US" w:eastAsia="zh-CN" w:bidi="ar-SA"/>
        </w:rPr>
        <w:t>第十二章创造高品质生活，谱写民生幸福篇章</w:t>
      </w:r>
      <w:bookmarkEnd w:id="229"/>
      <w:bookmarkEnd w:id="239"/>
      <w:bookmarkEnd w:id="240"/>
    </w:p>
    <w:p w14:paraId="196C98F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Times New Roman" w:hAnsi="Times New Roman" w:eastAsia="仿宋_GB2312" w:cs="Times New Roman"/>
          <w:color w:val="auto"/>
          <w:kern w:val="2"/>
          <w:sz w:val="32"/>
          <w:szCs w:val="32"/>
          <w:highlight w:val="none"/>
          <w:u w:val="none"/>
          <w:lang w:val="en-US" w:eastAsia="zh-CN" w:bidi="ar"/>
        </w:rPr>
        <w:t>坚持以人民为中心，聚焦民生优先，积极拓宽就业增收渠道，建设现代化教育强县，提升医疗服务水平，积极应对老龄化与少子化，促进人口均衡发展，推进文化事业繁荣，加快完善覆盖全民、统筹城乡、可持续的多层次社会保障体系，全面建设现代化美好扶沟。</w:t>
      </w:r>
    </w:p>
    <w:p w14:paraId="7B560176">
      <w:pPr>
        <w:keepNext/>
        <w:keepLines/>
        <w:pageBreakBefore w:val="0"/>
        <w:widowControl w:val="0"/>
        <w:numPr>
          <w:ilvl w:val="0"/>
          <w:numId w:val="0"/>
        </w:numPr>
        <w:kinsoku/>
        <w:wordWrap/>
        <w:overflowPunct/>
        <w:topLinePunct w:val="0"/>
        <w:autoSpaceDE/>
        <w:autoSpaceDN/>
        <w:bidi w:val="0"/>
        <w:adjustRightInd w:val="0"/>
        <w:snapToGrid w:val="0"/>
        <w:spacing w:before="156" w:beforeLines="50" w:after="156" w:afterLines="50" w:line="560" w:lineRule="exact"/>
        <w:ind w:leftChars="0"/>
        <w:jc w:val="center"/>
        <w:textAlignment w:val="auto"/>
        <w:outlineLvl w:val="2"/>
        <w:rPr>
          <w:rFonts w:hint="eastAsia" w:ascii="Times New Roman" w:hAnsi="Times New Roman" w:eastAsia="仿宋_GB2312" w:cs="Times New Roman"/>
          <w:color w:val="auto"/>
          <w:kern w:val="2"/>
          <w:sz w:val="32"/>
          <w:szCs w:val="32"/>
          <w:highlight w:val="none"/>
          <w:u w:val="none"/>
          <w:lang w:val="en-US" w:eastAsia="zh-CN" w:bidi="ar"/>
        </w:rPr>
      </w:pPr>
      <w:bookmarkStart w:id="241" w:name="_Toc1097"/>
      <w:bookmarkStart w:id="242" w:name="_Toc16714"/>
      <w:bookmarkStart w:id="243" w:name="_Toc15355"/>
      <w:r>
        <w:rPr>
          <w:rFonts w:hint="eastAsia" w:ascii="Times New Roman" w:hAnsi="Times New Roman" w:eastAsia="黑体" w:cs="Times New Roman"/>
          <w:b/>
          <w:bCs/>
          <w:color w:val="auto"/>
          <w:kern w:val="2"/>
          <w:sz w:val="32"/>
          <w:szCs w:val="32"/>
          <w:highlight w:val="none"/>
          <w:u w:val="none"/>
          <w:lang w:val="en-US" w:eastAsia="zh-CN" w:bidi="ar-SA"/>
        </w:rPr>
        <w:t>第一节拓展多样就业渠道</w:t>
      </w:r>
      <w:bookmarkEnd w:id="241"/>
      <w:bookmarkEnd w:id="242"/>
      <w:bookmarkEnd w:id="243"/>
    </w:p>
    <w:p w14:paraId="6DB0AEA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Times New Roman" w:hAnsi="Times New Roman" w:eastAsia="仿宋_GB2312" w:cs="Times New Roman"/>
          <w:color w:val="auto"/>
          <w:kern w:val="2"/>
          <w:sz w:val="32"/>
          <w:szCs w:val="32"/>
          <w:highlight w:val="none"/>
          <w:u w:val="none"/>
          <w:lang w:val="en-US" w:eastAsia="zh-CN" w:bidi="ar"/>
        </w:rPr>
        <w:t>实施就业优先战略，健全就业促进机制，扩大就业容量，提升就业质量，促进充分就业，构建更具韧性的就业保障体系，保障劳动者待遇和权益。</w:t>
      </w:r>
    </w:p>
    <w:p w14:paraId="027A78F2">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楷体_GB2312" w:hAnsi="楷体_GB2312" w:eastAsia="楷体_GB2312" w:cs="楷体_GB2312"/>
          <w:b/>
          <w:bCs/>
          <w:color w:val="auto"/>
          <w:kern w:val="2"/>
          <w:sz w:val="32"/>
          <w:szCs w:val="32"/>
          <w:u w:val="none"/>
          <w:lang w:val="en-US" w:eastAsia="zh-CN" w:bidi="ar-SA"/>
        </w:rPr>
        <w:t>强化就业促进推动高质量充分就业。</w:t>
      </w:r>
      <w:r>
        <w:rPr>
          <w:rFonts w:hint="eastAsia" w:ascii="Times New Roman" w:hAnsi="Times New Roman" w:eastAsia="仿宋_GB2312" w:cs="Times New Roman"/>
          <w:color w:val="auto"/>
          <w:kern w:val="2"/>
          <w:sz w:val="32"/>
          <w:szCs w:val="32"/>
          <w:highlight w:val="none"/>
          <w:u w:val="none"/>
          <w:lang w:val="en-US" w:eastAsia="zh-CN" w:bidi="ar"/>
        </w:rPr>
        <w:t>以“增岗兴创业，就业高质量”为核心导向，建立产业结构与就业结构协同调整的就业促进机制，综合运用创业指导、创业担保贷款、职业技能培训等多元手段多渠道拓展优质就业岗位，完善就业援助制度，大力开发公益性岗位，对高校毕业生、就业困难人员等重点群体实施优先扶持与精准帮扶，兜牢就业底线；同时鼓励劳动者自主创业，持续落实创业扶持政策，强化资金、场地、技术等关键要素保障，构建政府激励、社会支持、劳动者勇于创业的良性生态，以创业带动就业扩容提质，并行实施更加积极的就业政策，建立健全就业增长长效机制，优化升级就业公共服务体系，全力推动实现高质量充分就业。坚持经济发展就业导向，锚定传统优势产业升级与新兴产业培育，着力壮大就业增长点，在现代农业领域依托国家级现代农业产业园创建契机，深入推进“一园三带四区”蔬菜产业布局，持续完善“龙头企业+基地+农户”等联农带农模式，带动蔬菜种植、加工、物流等全产业链发展，增加脱贫人员就地就近就业岗位，提升就业质量，助力乡村振兴与县域经济高质量发展；在乡村服务领域，立足农业大县基础与数字经济趋势，将电商直播、短视频带货、电商快递配送等灵活就业形态纳入就业优先战略，推动其规模化、规范化、高质量发展，到“十五五”期末构建政策保障有力、服务体系完善、产业联动紧密的发展格局，每年带动城乡就业3000人以上。持续加强创业担保贷款政策宣传，加大对中小微企业的扶持力度。继续对蔬菜种植业进行政策扶持，为种植户提供更大的便利，解决他们的资金需求。</w:t>
      </w:r>
    </w:p>
    <w:p w14:paraId="68653246">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楷体_GB2312" w:hAnsi="楷体_GB2312" w:eastAsia="楷体_GB2312" w:cs="楷体_GB2312"/>
          <w:b/>
          <w:bCs/>
          <w:color w:val="auto"/>
          <w:kern w:val="2"/>
          <w:sz w:val="32"/>
          <w:szCs w:val="32"/>
          <w:u w:val="none"/>
          <w:lang w:val="en-US" w:eastAsia="zh-CN" w:bidi="ar-SA"/>
        </w:rPr>
        <w:t>加强就业服务和职业培训。</w:t>
      </w:r>
      <w:r>
        <w:rPr>
          <w:rFonts w:hint="eastAsia" w:ascii="Times New Roman" w:hAnsi="Times New Roman" w:eastAsia="仿宋_GB2312" w:cs="Times New Roman"/>
          <w:color w:val="auto"/>
          <w:kern w:val="2"/>
          <w:sz w:val="32"/>
          <w:szCs w:val="32"/>
          <w:highlight w:val="none"/>
          <w:u w:val="none"/>
          <w:lang w:val="en-US" w:eastAsia="zh-CN" w:bidi="ar"/>
        </w:rPr>
        <w:t>健全公共就业服务体系，加强县乡村三级就业服务平台建设，完善就业信息发布制度，提高就业服务的精准性和实效性。深化“人人持证、技能河南”建设，聚焦产业需求开展订单式培训，针对蔬菜产业开展设施种植、病虫害防治等培训，针对企业重点关键岗位职工开展新知识、新技术等培训，针对农村劳动力开展家政服务、电商运营、无人机驾驶员、起重装卸机械操作员等培训，每年完成职业技能培训1.1万人次，新增技能人才9500人，推动“劳动力”向“技能人才”转型。加强创业培训，完善创业扶持政策，鼓励劳动者创业带动就业。</w:t>
      </w:r>
    </w:p>
    <w:p w14:paraId="64A77EFA">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楷体_GB2312" w:hAnsi="楷体_GB2312" w:eastAsia="楷体_GB2312" w:cs="楷体_GB2312"/>
          <w:b/>
          <w:bCs/>
          <w:color w:val="auto"/>
          <w:kern w:val="2"/>
          <w:sz w:val="32"/>
          <w:szCs w:val="32"/>
          <w:u w:val="none"/>
          <w:lang w:val="en-US" w:eastAsia="zh-CN" w:bidi="ar-SA"/>
        </w:rPr>
        <w:t>促进重点群体就业。</w:t>
      </w:r>
      <w:r>
        <w:rPr>
          <w:rFonts w:hint="eastAsia" w:ascii="Times New Roman" w:hAnsi="Times New Roman" w:eastAsia="仿宋_GB2312" w:cs="Times New Roman"/>
          <w:color w:val="auto"/>
          <w:kern w:val="2"/>
          <w:sz w:val="32"/>
          <w:szCs w:val="32"/>
          <w:highlight w:val="none"/>
          <w:u w:val="none"/>
          <w:lang w:val="en-US" w:eastAsia="zh-CN" w:bidi="ar"/>
        </w:rPr>
        <w:t>把高校毕业生就业作为就业工作的重中之重，并采取一系列措施来确保目标的实现。建立详细的高校毕业生就业台账，以便更好地跟踪和管理他们的就业情况。同时，计划每年提供60个实习见习岗位，鼓励高校毕业生到基层、农业企业就业创业，为高校毕业生提供实践机会，帮助他们积累工作经验，提供就业竞争力。加强就业援助，建立健全帮扶机制，开发公益性岗位，鼓励企业吸纳残疾人就业，为就业困难人员提供托底安置。持续组织劳务输出帮扶行动，促进农村劳动力转移就业3200人/年。加强退役军人就业创业服务，落实优惠政策，建立就业服务专班，对接农业企业、合作社开发专属岗位300个/年，开展创业培训150人次/年。加强就业困难人员就业援助，建立健全帮扶机制，开发公益性岗位托底安置。</w:t>
      </w:r>
    </w:p>
    <w:p w14:paraId="5BCD8851">
      <w:pPr>
        <w:keepNext/>
        <w:keepLines/>
        <w:pageBreakBefore w:val="0"/>
        <w:widowControl w:val="0"/>
        <w:numPr>
          <w:ilvl w:val="0"/>
          <w:numId w:val="0"/>
        </w:numPr>
        <w:kinsoku/>
        <w:wordWrap/>
        <w:overflowPunct/>
        <w:topLinePunct w:val="0"/>
        <w:autoSpaceDE/>
        <w:autoSpaceDN/>
        <w:bidi w:val="0"/>
        <w:adjustRightInd w:val="0"/>
        <w:snapToGrid w:val="0"/>
        <w:spacing w:before="156" w:beforeLines="50" w:after="156" w:afterLines="50" w:line="560" w:lineRule="exact"/>
        <w:ind w:leftChars="0"/>
        <w:jc w:val="center"/>
        <w:textAlignment w:val="auto"/>
        <w:outlineLvl w:val="2"/>
        <w:rPr>
          <w:rFonts w:hint="default" w:ascii="Times New Roman" w:hAnsi="Times New Roman" w:eastAsia="黑体" w:cs="Times New Roman"/>
          <w:b/>
          <w:bCs/>
          <w:color w:val="auto"/>
          <w:kern w:val="2"/>
          <w:sz w:val="32"/>
          <w:szCs w:val="32"/>
          <w:highlight w:val="none"/>
          <w:u w:val="none"/>
          <w:lang w:val="en-US" w:eastAsia="zh-CN" w:bidi="ar-SA"/>
        </w:rPr>
      </w:pPr>
      <w:bookmarkStart w:id="244" w:name="_Toc12524"/>
      <w:bookmarkStart w:id="245" w:name="_Toc30761"/>
      <w:bookmarkStart w:id="246" w:name="_Toc31857"/>
      <w:r>
        <w:rPr>
          <w:rFonts w:hint="eastAsia" w:ascii="Times New Roman" w:hAnsi="Times New Roman" w:eastAsia="黑体" w:cs="Times New Roman"/>
          <w:b/>
          <w:bCs/>
          <w:color w:val="auto"/>
          <w:kern w:val="2"/>
          <w:sz w:val="32"/>
          <w:szCs w:val="32"/>
          <w:highlight w:val="none"/>
          <w:u w:val="none"/>
          <w:lang w:val="en-US" w:eastAsia="zh-CN" w:bidi="ar-SA"/>
        </w:rPr>
        <w:t>第二节扎实建设教育强县</w:t>
      </w:r>
      <w:bookmarkEnd w:id="244"/>
      <w:bookmarkEnd w:id="245"/>
      <w:bookmarkEnd w:id="246"/>
    </w:p>
    <w:p w14:paraId="0B922A9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Times New Roman" w:hAnsi="Times New Roman" w:eastAsia="仿宋_GB2312" w:cs="Times New Roman"/>
          <w:color w:val="auto"/>
          <w:kern w:val="2"/>
          <w:sz w:val="32"/>
          <w:szCs w:val="32"/>
          <w:highlight w:val="none"/>
          <w:u w:val="none"/>
          <w:lang w:val="en-US" w:eastAsia="zh-CN" w:bidi="ar"/>
        </w:rPr>
        <w:t>全面贯彻党的教育方针，落实立德树人根本任务，发展素质教育，促进教育公平，推动教育高质量发展，建设教育强县。</w:t>
      </w:r>
    </w:p>
    <w:p w14:paraId="2FBC77C4">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楷体_GB2312" w:hAnsi="楷体_GB2312" w:eastAsia="楷体_GB2312" w:cs="楷体_GB2312"/>
          <w:b/>
          <w:bCs/>
          <w:color w:val="auto"/>
          <w:kern w:val="2"/>
          <w:sz w:val="32"/>
          <w:szCs w:val="32"/>
          <w:u w:val="none"/>
          <w:lang w:val="en-US" w:eastAsia="zh-CN" w:bidi="ar-SA"/>
        </w:rPr>
        <w:t>学前教育普及普惠。</w:t>
      </w:r>
      <w:r>
        <w:rPr>
          <w:rFonts w:hint="eastAsia" w:ascii="仿宋_GB2312" w:hAnsi="仿宋_GB2312" w:eastAsia="仿宋_GB2312" w:cs="仿宋_GB2312"/>
          <w:color w:val="auto"/>
          <w:sz w:val="32"/>
          <w:szCs w:val="32"/>
          <w:lang w:val="en-US" w:eastAsia="zh-CN"/>
        </w:rPr>
        <w:t>为保障全县适龄儿童公平享有高质量学前教育服务，切实减轻家庭经济负担，十五五期间，规划</w:t>
      </w:r>
      <w:r>
        <w:rPr>
          <w:rFonts w:hint="eastAsia" w:ascii="仿宋_GB2312" w:hAnsi="仿宋_GB2312" w:eastAsia="仿宋_GB2312" w:cs="仿宋_GB2312"/>
          <w:color w:val="auto"/>
          <w:sz w:val="32"/>
          <w:szCs w:val="32"/>
        </w:rPr>
        <w:t>‌盘活</w:t>
      </w:r>
      <w:r>
        <w:rPr>
          <w:rFonts w:hint="eastAsia" w:ascii="仿宋_GB2312" w:hAnsi="仿宋_GB2312" w:eastAsia="仿宋_GB2312" w:cs="仿宋_GB2312"/>
          <w:color w:val="auto"/>
          <w:sz w:val="32"/>
          <w:szCs w:val="32"/>
          <w:lang w:val="en-US" w:eastAsia="zh-CN"/>
        </w:rPr>
        <w:t>新区烂尾</w:t>
      </w:r>
      <w:r>
        <w:rPr>
          <w:rFonts w:hint="eastAsia" w:ascii="仿宋_GB2312" w:hAnsi="仿宋_GB2312" w:eastAsia="仿宋_GB2312" w:cs="仿宋_GB2312"/>
          <w:color w:val="auto"/>
          <w:sz w:val="32"/>
          <w:szCs w:val="32"/>
        </w:rPr>
        <w:t>民办幼儿园，</w:t>
      </w:r>
      <w:r>
        <w:rPr>
          <w:rFonts w:hint="eastAsia" w:ascii="仿宋_GB2312" w:hAnsi="仿宋_GB2312" w:eastAsia="仿宋_GB2312" w:cs="仿宋_GB2312"/>
          <w:color w:val="auto"/>
          <w:sz w:val="32"/>
          <w:szCs w:val="32"/>
          <w:lang w:val="en-US" w:eastAsia="zh-CN"/>
        </w:rPr>
        <w:t>新建</w:t>
      </w:r>
      <w:r>
        <w:rPr>
          <w:rFonts w:hint="eastAsia" w:ascii="仿宋_GB2312" w:hAnsi="仿宋_GB2312" w:eastAsia="仿宋_GB2312" w:cs="仿宋_GB2312"/>
          <w:color w:val="auto"/>
          <w:sz w:val="32"/>
          <w:szCs w:val="32"/>
        </w:rPr>
        <w:t>1所10轨30班公办幼儿园</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建成城区</w:t>
      </w:r>
      <w:r>
        <w:rPr>
          <w:rFonts w:hint="eastAsia" w:ascii="仿宋_GB2312" w:hAnsi="仿宋_GB2312" w:eastAsia="仿宋_GB2312" w:cs="仿宋_GB2312"/>
          <w:color w:val="auto"/>
          <w:sz w:val="32"/>
          <w:szCs w:val="32"/>
        </w:rPr>
        <w:t>小区配建幼儿园</w:t>
      </w:r>
      <w:r>
        <w:rPr>
          <w:rFonts w:hint="eastAsia" w:ascii="仿宋_GB2312" w:hAnsi="仿宋_GB2312" w:eastAsia="仿宋_GB2312" w:cs="仿宋_GB2312"/>
          <w:color w:val="auto"/>
          <w:sz w:val="32"/>
          <w:szCs w:val="32"/>
          <w:lang w:val="en-US" w:eastAsia="zh-CN"/>
        </w:rPr>
        <w:t>8</w:t>
      </w:r>
      <w:r>
        <w:rPr>
          <w:rFonts w:hint="eastAsia" w:ascii="仿宋_GB2312" w:hAnsi="仿宋_GB2312" w:eastAsia="仿宋_GB2312" w:cs="仿宋_GB2312"/>
          <w:color w:val="auto"/>
          <w:sz w:val="32"/>
          <w:szCs w:val="32"/>
        </w:rPr>
        <w:t>所，新增学位</w:t>
      </w:r>
      <w:r>
        <w:rPr>
          <w:rFonts w:hint="eastAsia" w:ascii="仿宋_GB2312" w:hAnsi="仿宋_GB2312" w:eastAsia="仿宋_GB2312" w:cs="仿宋_GB2312"/>
          <w:color w:val="auto"/>
          <w:sz w:val="32"/>
          <w:szCs w:val="32"/>
          <w:lang w:val="en-US" w:eastAsia="zh-CN"/>
        </w:rPr>
        <w:t>3150</w:t>
      </w:r>
      <w:r>
        <w:rPr>
          <w:rFonts w:hint="eastAsia" w:ascii="仿宋_GB2312" w:hAnsi="仿宋_GB2312" w:eastAsia="仿宋_GB2312" w:cs="仿宋_GB2312"/>
          <w:color w:val="auto"/>
          <w:sz w:val="32"/>
          <w:szCs w:val="32"/>
        </w:rPr>
        <w:t>个</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持续改善农村幼儿园办园条件，</w:t>
      </w:r>
      <w:r>
        <w:rPr>
          <w:rFonts w:hint="eastAsia" w:ascii="仿宋_GB2312" w:hAnsi="仿宋_GB2312" w:eastAsia="仿宋_GB2312" w:cs="仿宋_GB2312"/>
          <w:color w:val="auto"/>
          <w:sz w:val="32"/>
          <w:szCs w:val="32"/>
        </w:rPr>
        <w:t>提升学前教育普及普惠水平</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确保顺利通过学前教育普及普惠国家督导评估认定</w:t>
      </w:r>
      <w:r>
        <w:rPr>
          <w:rFonts w:hint="eastAsia" w:ascii="仿宋_GB2312" w:hAnsi="仿宋_GB2312" w:eastAsia="仿宋_GB2312" w:cs="仿宋_GB2312"/>
          <w:color w:val="auto"/>
          <w:sz w:val="32"/>
          <w:szCs w:val="32"/>
        </w:rPr>
        <w:t>。</w:t>
      </w:r>
    </w:p>
    <w:p w14:paraId="00FB7EA1">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楷体_GB2312" w:hAnsi="楷体_GB2312" w:eastAsia="楷体_GB2312" w:cs="楷体_GB2312"/>
          <w:b/>
          <w:bCs/>
          <w:color w:val="auto"/>
          <w:kern w:val="2"/>
          <w:sz w:val="32"/>
          <w:szCs w:val="32"/>
          <w:u w:val="none"/>
          <w:lang w:val="en-US" w:eastAsia="zh-CN" w:bidi="ar-SA"/>
        </w:rPr>
        <w:t>义务教育优质均衡。</w:t>
      </w:r>
      <w:r>
        <w:rPr>
          <w:rFonts w:hint="eastAsia" w:ascii="仿宋_GB2312" w:hAnsi="仿宋_GB2312" w:eastAsia="仿宋_GB2312" w:cs="仿宋_GB2312"/>
          <w:color w:val="auto"/>
          <w:sz w:val="32"/>
          <w:szCs w:val="32"/>
          <w:lang w:val="en-US" w:eastAsia="zh-CN"/>
        </w:rPr>
        <w:t>以创建全省首批义务教育优质均衡县为契机，以“城区强、乡村优”为主线，稳妥推进学校布局调整，优化城乡教育资源配置。</w:t>
      </w:r>
      <w:r>
        <w:rPr>
          <w:rFonts w:hint="eastAsia" w:ascii="仿宋_GB2312" w:hAnsi="仿宋_GB2312" w:eastAsia="仿宋_GB2312" w:cs="仿宋_GB2312"/>
          <w:color w:val="auto"/>
          <w:sz w:val="32"/>
          <w:szCs w:val="32"/>
        </w:rPr>
        <w:t>到2030年，规划</w:t>
      </w:r>
      <w:r>
        <w:rPr>
          <w:rFonts w:hint="eastAsia" w:ascii="仿宋_GB2312" w:hAnsi="仿宋_GB2312" w:eastAsia="仿宋_GB2312" w:cs="仿宋_GB2312"/>
          <w:color w:val="auto"/>
          <w:sz w:val="32"/>
          <w:szCs w:val="32"/>
          <w:lang w:val="en-US" w:eastAsia="zh-CN"/>
        </w:rPr>
        <w:t>城区</w:t>
      </w:r>
      <w:r>
        <w:rPr>
          <w:rFonts w:hint="eastAsia" w:ascii="仿宋_GB2312" w:hAnsi="仿宋_GB2312" w:eastAsia="仿宋_GB2312" w:cs="仿宋_GB2312"/>
          <w:color w:val="auto"/>
          <w:sz w:val="32"/>
          <w:szCs w:val="32"/>
        </w:rPr>
        <w:t>新建义务教育学校4所，改扩建</w:t>
      </w:r>
      <w:r>
        <w:rPr>
          <w:rFonts w:hint="eastAsia" w:ascii="仿宋_GB2312" w:hAnsi="仿宋_GB2312" w:eastAsia="仿宋_GB2312" w:cs="仿宋_GB2312"/>
          <w:color w:val="auto"/>
          <w:sz w:val="32"/>
          <w:szCs w:val="32"/>
          <w:lang w:eastAsia="zh-CN"/>
        </w:rPr>
        <w:t>城乡接合部</w:t>
      </w:r>
      <w:r>
        <w:rPr>
          <w:rFonts w:hint="eastAsia" w:ascii="仿宋_GB2312" w:hAnsi="仿宋_GB2312" w:eastAsia="仿宋_GB2312" w:cs="仿宋_GB2312"/>
          <w:color w:val="auto"/>
          <w:sz w:val="32"/>
          <w:szCs w:val="32"/>
        </w:rPr>
        <w:t>学校</w:t>
      </w:r>
      <w:r>
        <w:rPr>
          <w:rFonts w:hint="eastAsia" w:ascii="仿宋_GB2312" w:hAnsi="仿宋_GB2312" w:eastAsia="仿宋_GB2312" w:cs="仿宋_GB2312"/>
          <w:color w:val="auto"/>
          <w:sz w:val="32"/>
          <w:szCs w:val="32"/>
          <w:lang w:val="en-US" w:eastAsia="zh-CN"/>
        </w:rPr>
        <w:t>2</w:t>
      </w:r>
      <w:r>
        <w:rPr>
          <w:rFonts w:hint="eastAsia" w:ascii="仿宋_GB2312" w:hAnsi="仿宋_GB2312" w:eastAsia="仿宋_GB2312" w:cs="仿宋_GB2312"/>
          <w:color w:val="auto"/>
          <w:sz w:val="32"/>
          <w:szCs w:val="32"/>
        </w:rPr>
        <w:t>所</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新增学位7894个，化解城镇“大班额”</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大校额</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问题</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对全县126所中小学进行</w:t>
      </w:r>
      <w:r>
        <w:rPr>
          <w:rFonts w:hint="eastAsia" w:ascii="仿宋_GB2312" w:hAnsi="仿宋_GB2312" w:eastAsia="仿宋_GB2312" w:cs="仿宋_GB2312"/>
          <w:color w:val="auto"/>
          <w:sz w:val="32"/>
          <w:szCs w:val="32"/>
        </w:rPr>
        <w:t>改扩建，</w:t>
      </w:r>
      <w:r>
        <w:rPr>
          <w:rFonts w:hint="eastAsia" w:ascii="仿宋_GB2312" w:hAnsi="仿宋_GB2312" w:eastAsia="仿宋_GB2312" w:cs="仿宋_GB2312"/>
          <w:color w:val="auto"/>
          <w:sz w:val="32"/>
          <w:szCs w:val="32"/>
          <w:lang w:val="en-US" w:eastAsia="zh-CN"/>
        </w:rPr>
        <w:t>逐步</w:t>
      </w:r>
      <w:r>
        <w:rPr>
          <w:rFonts w:hint="eastAsia" w:ascii="仿宋_GB2312" w:hAnsi="仿宋_GB2312" w:eastAsia="仿宋_GB2312" w:cs="仿宋_GB2312"/>
          <w:color w:val="auto"/>
          <w:sz w:val="32"/>
          <w:szCs w:val="32"/>
        </w:rPr>
        <w:t>缩小城乡教育差距</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迁建特殊教育学校</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改建专门学校</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打造</w:t>
      </w:r>
      <w:r>
        <w:rPr>
          <w:rFonts w:hint="eastAsia" w:ascii="仿宋_GB2312" w:hAnsi="仿宋_GB2312" w:eastAsia="仿宋_GB2312" w:cs="仿宋_GB2312"/>
          <w:color w:val="auto"/>
          <w:sz w:val="32"/>
          <w:szCs w:val="32"/>
          <w:lang w:eastAsia="zh-CN"/>
        </w:rPr>
        <w:t>为我县乃至全省特殊教育的一面旗帜，推行“教育+康复+职业技能培养”一体化育人模式，</w:t>
      </w:r>
      <w:r>
        <w:rPr>
          <w:rFonts w:hint="eastAsia" w:ascii="仿宋_GB2312" w:hAnsi="仿宋_GB2312" w:eastAsia="仿宋_GB2312" w:cs="仿宋_GB2312"/>
          <w:color w:val="auto"/>
          <w:sz w:val="32"/>
          <w:szCs w:val="32"/>
          <w:lang w:val="en-US" w:eastAsia="zh-CN"/>
        </w:rPr>
        <w:t>建成覆盖</w:t>
      </w:r>
      <w:r>
        <w:rPr>
          <w:rFonts w:hint="eastAsia" w:ascii="仿宋_GB2312" w:hAnsi="仿宋_GB2312" w:eastAsia="仿宋_GB2312" w:cs="仿宋_GB2312"/>
          <w:color w:val="auto"/>
          <w:sz w:val="32"/>
          <w:szCs w:val="32"/>
          <w:lang w:eastAsia="zh-CN"/>
        </w:rPr>
        <w:t>学前康复</w:t>
      </w:r>
      <w:r>
        <w:rPr>
          <w:rFonts w:hint="eastAsia" w:ascii="仿宋_GB2312" w:hAnsi="仿宋_GB2312" w:eastAsia="仿宋_GB2312" w:cs="仿宋_GB2312"/>
          <w:color w:val="auto"/>
          <w:sz w:val="32"/>
          <w:szCs w:val="32"/>
          <w:lang w:val="en-US" w:eastAsia="zh-CN"/>
        </w:rPr>
        <w:t>至</w:t>
      </w:r>
      <w:r>
        <w:rPr>
          <w:rFonts w:hint="eastAsia" w:ascii="仿宋_GB2312" w:hAnsi="仿宋_GB2312" w:eastAsia="仿宋_GB2312" w:cs="仿宋_GB2312"/>
          <w:color w:val="auto"/>
          <w:sz w:val="32"/>
          <w:szCs w:val="32"/>
          <w:lang w:eastAsia="zh-CN"/>
        </w:rPr>
        <w:t>高中职业教育的15年一贯制</w:t>
      </w:r>
      <w:r>
        <w:rPr>
          <w:rFonts w:hint="eastAsia" w:ascii="仿宋_GB2312" w:hAnsi="仿宋_GB2312" w:eastAsia="仿宋_GB2312" w:cs="仿宋_GB2312"/>
          <w:color w:val="auto"/>
          <w:sz w:val="32"/>
          <w:szCs w:val="32"/>
          <w:lang w:val="en-US" w:eastAsia="zh-CN"/>
        </w:rPr>
        <w:t>学校</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既为</w:t>
      </w:r>
      <w:r>
        <w:rPr>
          <w:rFonts w:hint="eastAsia" w:ascii="仿宋_GB2312" w:hAnsi="仿宋_GB2312" w:eastAsia="仿宋_GB2312" w:cs="仿宋_GB2312"/>
          <w:color w:val="auto"/>
          <w:sz w:val="32"/>
          <w:szCs w:val="32"/>
          <w:lang w:eastAsia="zh-CN"/>
        </w:rPr>
        <w:t>学生提供精准科学的康复服务，</w:t>
      </w:r>
      <w:r>
        <w:rPr>
          <w:rFonts w:hint="eastAsia" w:ascii="仿宋_GB2312" w:hAnsi="仿宋_GB2312" w:eastAsia="仿宋_GB2312" w:cs="仿宋_GB2312"/>
          <w:color w:val="auto"/>
          <w:sz w:val="32"/>
          <w:szCs w:val="32"/>
          <w:lang w:val="en-US" w:eastAsia="zh-CN"/>
        </w:rPr>
        <w:t>也为其</w:t>
      </w:r>
      <w:r>
        <w:rPr>
          <w:rFonts w:hint="eastAsia" w:ascii="仿宋_GB2312" w:hAnsi="仿宋_GB2312" w:eastAsia="仿宋_GB2312" w:cs="仿宋_GB2312"/>
          <w:color w:val="auto"/>
          <w:sz w:val="32"/>
          <w:szCs w:val="32"/>
          <w:lang w:eastAsia="zh-CN"/>
        </w:rPr>
        <w:t>未来融入社会、实现自立奠定坚实基础</w:t>
      </w:r>
      <w:r>
        <w:rPr>
          <w:rFonts w:hint="eastAsia" w:ascii="仿宋_GB2312" w:hAnsi="仿宋_GB2312" w:eastAsia="仿宋_GB2312" w:cs="仿宋_GB2312"/>
          <w:color w:val="auto"/>
          <w:sz w:val="32"/>
          <w:szCs w:val="32"/>
          <w:lang w:val="en-US" w:eastAsia="zh-CN"/>
        </w:rPr>
        <w:t>；持续</w:t>
      </w:r>
      <w:r>
        <w:rPr>
          <w:rFonts w:hint="eastAsia" w:ascii="仿宋_GB2312" w:hAnsi="仿宋_GB2312" w:eastAsia="仿宋_GB2312" w:cs="仿宋_GB2312"/>
          <w:color w:val="auto"/>
          <w:sz w:val="32"/>
          <w:szCs w:val="32"/>
        </w:rPr>
        <w:t>拓展</w:t>
      </w:r>
      <w:r>
        <w:rPr>
          <w:rFonts w:hint="eastAsia" w:ascii="仿宋_GB2312" w:hAnsi="仿宋_GB2312" w:eastAsia="仿宋_GB2312" w:cs="仿宋_GB2312"/>
          <w:color w:val="auto"/>
          <w:sz w:val="32"/>
          <w:szCs w:val="32"/>
          <w:lang w:val="en-US" w:eastAsia="zh-CN"/>
        </w:rPr>
        <w:t>集团化办学</w:t>
      </w:r>
      <w:r>
        <w:rPr>
          <w:rFonts w:hint="eastAsia" w:ascii="仿宋_GB2312" w:hAnsi="仿宋_GB2312" w:eastAsia="仿宋_GB2312" w:cs="仿宋_GB2312"/>
          <w:color w:val="auto"/>
          <w:sz w:val="32"/>
          <w:szCs w:val="32"/>
        </w:rPr>
        <w:t>协作</w:t>
      </w:r>
      <w:r>
        <w:rPr>
          <w:rFonts w:hint="eastAsia" w:ascii="仿宋_GB2312" w:hAnsi="仿宋_GB2312" w:eastAsia="仿宋_GB2312" w:cs="仿宋_GB2312"/>
          <w:color w:val="auto"/>
          <w:sz w:val="32"/>
          <w:szCs w:val="32"/>
          <w:lang w:eastAsia="zh-CN"/>
        </w:rPr>
        <w:t>的</w:t>
      </w:r>
      <w:r>
        <w:rPr>
          <w:rFonts w:hint="eastAsia" w:ascii="仿宋_GB2312" w:hAnsi="仿宋_GB2312" w:eastAsia="仿宋_GB2312" w:cs="仿宋_GB2312"/>
          <w:color w:val="auto"/>
          <w:sz w:val="32"/>
          <w:szCs w:val="32"/>
        </w:rPr>
        <w:t>广度与深</w:t>
      </w:r>
      <w:r>
        <w:rPr>
          <w:rFonts w:hint="eastAsia" w:ascii="仿宋_GB2312" w:hAnsi="仿宋_GB2312" w:eastAsia="仿宋_GB2312" w:cs="仿宋_GB2312"/>
          <w:color w:val="auto"/>
          <w:sz w:val="32"/>
          <w:szCs w:val="32"/>
          <w:lang w:eastAsia="zh-CN"/>
        </w:rPr>
        <w:t>度，</w:t>
      </w:r>
      <w:r>
        <w:rPr>
          <w:rFonts w:hint="eastAsia" w:ascii="仿宋_GB2312" w:hAnsi="仿宋_GB2312" w:eastAsia="仿宋_GB2312" w:cs="仿宋_GB2312"/>
          <w:color w:val="auto"/>
          <w:sz w:val="32"/>
          <w:szCs w:val="32"/>
          <w:lang w:val="en-US" w:eastAsia="zh-CN"/>
        </w:rPr>
        <w:t>实现覆盖率100%，让更多学生在家门口就能享受到优质的教育</w:t>
      </w:r>
      <w:r>
        <w:rPr>
          <w:rFonts w:hint="eastAsia" w:ascii="仿宋_GB2312" w:hAnsi="仿宋_GB2312" w:eastAsia="仿宋_GB2312" w:cs="仿宋_GB2312"/>
          <w:color w:val="auto"/>
          <w:sz w:val="32"/>
          <w:szCs w:val="32"/>
        </w:rPr>
        <w:t>。</w:t>
      </w:r>
    </w:p>
    <w:p w14:paraId="13291E74">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楷体_GB2312" w:hAnsi="楷体_GB2312" w:eastAsia="楷体_GB2312" w:cs="楷体_GB2312"/>
          <w:b/>
          <w:bCs/>
          <w:color w:val="auto"/>
          <w:kern w:val="2"/>
          <w:sz w:val="32"/>
          <w:szCs w:val="32"/>
          <w:u w:val="none"/>
          <w:lang w:val="en-US" w:eastAsia="zh-CN" w:bidi="ar-SA"/>
        </w:rPr>
        <w:t>高中教育特色提质。</w:t>
      </w:r>
      <w:r>
        <w:rPr>
          <w:rFonts w:hint="eastAsia" w:ascii="仿宋_GB2312" w:hAnsi="仿宋_GB2312" w:eastAsia="仿宋_GB2312" w:cs="仿宋_GB2312"/>
          <w:color w:val="auto"/>
          <w:sz w:val="32"/>
          <w:szCs w:val="32"/>
          <w:lang w:val="en-US" w:eastAsia="zh-CN"/>
        </w:rPr>
        <w:t>为尊重学生差异性需求，“十五五”期间，立足县域高中校情，构建错位发展、多元成才的办学格局。</w:t>
      </w:r>
      <w:r>
        <w:rPr>
          <w:rFonts w:hint="eastAsia" w:ascii="仿宋_GB2312" w:hAnsi="仿宋_GB2312" w:eastAsia="仿宋_GB2312" w:cs="仿宋_GB2312"/>
          <w:color w:val="auto"/>
          <w:sz w:val="32"/>
          <w:szCs w:val="32"/>
        </w:rPr>
        <w:t>县高中</w:t>
      </w:r>
      <w:r>
        <w:rPr>
          <w:rFonts w:hint="eastAsia" w:ascii="仿宋_GB2312" w:hAnsi="仿宋_GB2312" w:eastAsia="仿宋_GB2312" w:cs="仿宋_GB2312"/>
          <w:color w:val="auto"/>
          <w:sz w:val="32"/>
          <w:szCs w:val="32"/>
          <w:lang w:val="en-US" w:eastAsia="zh-CN"/>
        </w:rPr>
        <w:t>继续</w:t>
      </w:r>
      <w:r>
        <w:rPr>
          <w:rFonts w:hint="eastAsia" w:ascii="仿宋_GB2312" w:hAnsi="仿宋_GB2312" w:eastAsia="仿宋_GB2312" w:cs="仿宋_GB2312"/>
          <w:color w:val="auto"/>
          <w:sz w:val="32"/>
          <w:szCs w:val="32"/>
        </w:rPr>
        <w:t>发挥生源优势，</w:t>
      </w:r>
      <w:r>
        <w:rPr>
          <w:rFonts w:hint="eastAsia" w:ascii="仿宋_GB2312" w:hAnsi="仿宋_GB2312" w:eastAsia="仿宋_GB2312" w:cs="仿宋_GB2312"/>
          <w:color w:val="auto"/>
          <w:sz w:val="32"/>
          <w:szCs w:val="32"/>
          <w:lang w:val="en-US" w:eastAsia="zh-CN"/>
        </w:rPr>
        <w:t>探索新形势下课程改革，</w:t>
      </w:r>
      <w:r>
        <w:rPr>
          <w:rFonts w:hint="eastAsia" w:ascii="仿宋_GB2312" w:hAnsi="仿宋_GB2312" w:eastAsia="仿宋_GB2312" w:cs="仿宋_GB2312"/>
          <w:color w:val="auto"/>
          <w:sz w:val="32"/>
          <w:szCs w:val="32"/>
        </w:rPr>
        <w:t>强化拔尖创新人才培养，</w:t>
      </w:r>
      <w:r>
        <w:rPr>
          <w:rFonts w:hint="eastAsia" w:ascii="仿宋_GB2312" w:hAnsi="仿宋_GB2312" w:eastAsia="仿宋_GB2312" w:cs="仿宋_GB2312"/>
          <w:color w:val="auto"/>
          <w:sz w:val="32"/>
          <w:szCs w:val="32"/>
          <w:lang w:val="en-US" w:eastAsia="zh-CN"/>
        </w:rPr>
        <w:t>切实实现“个个本科，人人成才”的育人目标</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县二高深化“五育融合”与课堂教学改革，</w:t>
      </w:r>
      <w:r>
        <w:rPr>
          <w:rFonts w:hint="eastAsia" w:ascii="仿宋_GB2312" w:hAnsi="仿宋_GB2312" w:eastAsia="仿宋_GB2312" w:cs="仿宋_GB2312"/>
          <w:color w:val="auto"/>
          <w:sz w:val="32"/>
          <w:szCs w:val="32"/>
          <w:lang w:val="en-US" w:eastAsia="zh-CN"/>
        </w:rPr>
        <w:t>建强</w:t>
      </w:r>
      <w:r>
        <w:rPr>
          <w:rFonts w:hint="eastAsia" w:ascii="仿宋_GB2312" w:hAnsi="仿宋_GB2312" w:eastAsia="仿宋_GB2312" w:cs="仿宋_GB2312"/>
          <w:color w:val="auto"/>
          <w:sz w:val="32"/>
          <w:szCs w:val="32"/>
        </w:rPr>
        <w:t>红色思政教育基地，</w:t>
      </w:r>
      <w:r>
        <w:rPr>
          <w:rFonts w:hint="eastAsia" w:ascii="仿宋_GB2312" w:hAnsi="仿宋_GB2312" w:eastAsia="仿宋_GB2312" w:cs="仿宋_GB2312"/>
          <w:color w:val="auto"/>
          <w:sz w:val="32"/>
          <w:szCs w:val="32"/>
          <w:lang w:val="en-US" w:eastAsia="zh-CN"/>
        </w:rPr>
        <w:t>提高</w:t>
      </w:r>
      <w:r>
        <w:rPr>
          <w:rFonts w:hint="eastAsia" w:ascii="仿宋_GB2312" w:hAnsi="仿宋_GB2312" w:eastAsia="仿宋_GB2312" w:cs="仿宋_GB2312"/>
          <w:color w:val="auto"/>
          <w:sz w:val="32"/>
          <w:szCs w:val="32"/>
        </w:rPr>
        <w:t>增量评价成效，保持本科上线率</w:t>
      </w:r>
      <w:r>
        <w:rPr>
          <w:rFonts w:hint="eastAsia" w:ascii="仿宋_GB2312" w:hAnsi="仿宋_GB2312" w:eastAsia="仿宋_GB2312" w:cs="仿宋_GB2312"/>
          <w:color w:val="auto"/>
          <w:sz w:val="32"/>
          <w:szCs w:val="32"/>
          <w:lang w:eastAsia="zh-CN"/>
        </w:rPr>
        <w:t>稳步</w:t>
      </w:r>
      <w:r>
        <w:rPr>
          <w:rFonts w:hint="eastAsia" w:ascii="仿宋_GB2312" w:hAnsi="仿宋_GB2312" w:eastAsia="仿宋_GB2312" w:cs="仿宋_GB2312"/>
          <w:color w:val="auto"/>
          <w:sz w:val="32"/>
          <w:szCs w:val="32"/>
          <w:lang w:val="en-US" w:eastAsia="zh-CN"/>
        </w:rPr>
        <w:t>提升</w:t>
      </w:r>
      <w:r>
        <w:rPr>
          <w:rFonts w:hint="eastAsia" w:ascii="仿宋_GB2312" w:hAnsi="仿宋_GB2312" w:eastAsia="仿宋_GB2312" w:cs="仿宋_GB2312"/>
          <w:color w:val="auto"/>
          <w:sz w:val="32"/>
          <w:szCs w:val="32"/>
          <w:lang w:eastAsia="zh-CN"/>
        </w:rPr>
        <w:t>；县直高中</w:t>
      </w:r>
      <w:r>
        <w:rPr>
          <w:rFonts w:hint="eastAsia" w:ascii="仿宋_GB2312" w:hAnsi="仿宋_GB2312" w:eastAsia="仿宋_GB2312" w:cs="仿宋_GB2312"/>
          <w:color w:val="auto"/>
          <w:sz w:val="32"/>
          <w:szCs w:val="32"/>
          <w:lang w:val="en-US" w:eastAsia="zh-CN"/>
        </w:rPr>
        <w:t>持续放大</w:t>
      </w:r>
      <w:r>
        <w:rPr>
          <w:rFonts w:hint="eastAsia" w:ascii="仿宋_GB2312" w:hAnsi="仿宋_GB2312" w:eastAsia="仿宋_GB2312" w:cs="仿宋_GB2312"/>
          <w:color w:val="auto"/>
          <w:sz w:val="32"/>
          <w:szCs w:val="32"/>
          <w:lang w:eastAsia="zh-CN"/>
        </w:rPr>
        <w:t>卫星班、小语种办学</w:t>
      </w:r>
      <w:r>
        <w:rPr>
          <w:rFonts w:hint="eastAsia" w:ascii="仿宋_GB2312" w:hAnsi="仿宋_GB2312" w:eastAsia="仿宋_GB2312" w:cs="仿宋_GB2312"/>
          <w:color w:val="auto"/>
          <w:sz w:val="32"/>
          <w:szCs w:val="32"/>
          <w:lang w:val="en-US" w:eastAsia="zh-CN"/>
        </w:rPr>
        <w:t>优势</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继续</w:t>
      </w:r>
      <w:r>
        <w:rPr>
          <w:rFonts w:hint="eastAsia" w:ascii="仿宋_GB2312" w:hAnsi="仿宋_GB2312" w:eastAsia="仿宋_GB2312" w:cs="仿宋_GB2312"/>
          <w:color w:val="auto"/>
          <w:sz w:val="32"/>
          <w:szCs w:val="32"/>
          <w:lang w:eastAsia="zh-CN"/>
        </w:rPr>
        <w:t>深化</w:t>
      </w:r>
      <w:r>
        <w:rPr>
          <w:rFonts w:hint="eastAsia" w:ascii="仿宋_GB2312" w:hAnsi="仿宋_GB2312" w:eastAsia="仿宋_GB2312" w:cs="仿宋_GB2312"/>
          <w:color w:val="auto"/>
          <w:sz w:val="32"/>
          <w:szCs w:val="32"/>
          <w:lang w:val="en-US" w:eastAsia="zh-CN"/>
        </w:rPr>
        <w:t>与俄罗斯国立技术大学和圣彼得堡国立大学之间</w:t>
      </w:r>
      <w:r>
        <w:rPr>
          <w:rFonts w:hint="eastAsia" w:ascii="仿宋_GB2312" w:hAnsi="仿宋_GB2312" w:eastAsia="仿宋_GB2312" w:cs="仿宋_GB2312"/>
          <w:color w:val="auto"/>
          <w:sz w:val="32"/>
          <w:szCs w:val="32"/>
          <w:lang w:eastAsia="zh-CN"/>
        </w:rPr>
        <w:t>国际合作，拓宽学生多元升学通道；</w:t>
      </w:r>
      <w:r>
        <w:rPr>
          <w:rFonts w:hint="eastAsia" w:ascii="仿宋_GB2312" w:hAnsi="仿宋_GB2312" w:eastAsia="仿宋_GB2312" w:cs="仿宋_GB2312"/>
          <w:color w:val="auto"/>
          <w:sz w:val="32"/>
          <w:szCs w:val="32"/>
        </w:rPr>
        <w:t>支持包屯高中做强武术特长教育，聚焦艺体、武术特色，丰富特色课程，保障低进高出，助力学生专项成才。</w:t>
      </w:r>
      <w:r>
        <w:rPr>
          <w:rFonts w:hint="eastAsia" w:ascii="仿宋_GB2312" w:hAnsi="仿宋_GB2312" w:eastAsia="仿宋_GB2312" w:cs="仿宋_GB2312"/>
          <w:color w:val="auto"/>
          <w:sz w:val="32"/>
          <w:szCs w:val="32"/>
          <w:lang w:val="en-US" w:eastAsia="zh-CN"/>
        </w:rPr>
        <w:t>同时</w:t>
      </w:r>
      <w:r>
        <w:rPr>
          <w:rFonts w:hint="eastAsia" w:ascii="仿宋_GB2312" w:hAnsi="仿宋_GB2312" w:eastAsia="仿宋_GB2312" w:cs="仿宋_GB2312"/>
          <w:color w:val="auto"/>
          <w:sz w:val="32"/>
          <w:szCs w:val="32"/>
        </w:rPr>
        <w:t>在新</w:t>
      </w:r>
      <w:r>
        <w:rPr>
          <w:rFonts w:hint="eastAsia" w:ascii="仿宋_GB2312" w:hAnsi="仿宋_GB2312" w:eastAsia="仿宋_GB2312" w:cs="仿宋_GB2312"/>
          <w:color w:val="auto"/>
          <w:sz w:val="32"/>
          <w:szCs w:val="32"/>
          <w:lang w:val="en-US" w:eastAsia="zh-CN"/>
        </w:rPr>
        <w:t>城</w:t>
      </w:r>
      <w:r>
        <w:rPr>
          <w:rFonts w:hint="eastAsia" w:ascii="仿宋_GB2312" w:hAnsi="仿宋_GB2312" w:eastAsia="仿宋_GB2312" w:cs="仿宋_GB2312"/>
          <w:color w:val="auto"/>
          <w:sz w:val="32"/>
          <w:szCs w:val="32"/>
        </w:rPr>
        <w:t>区规划建设</w:t>
      </w:r>
      <w:r>
        <w:rPr>
          <w:rFonts w:hint="eastAsia" w:ascii="仿宋_GB2312" w:hAnsi="仿宋_GB2312" w:eastAsia="仿宋_GB2312" w:cs="仿宋_GB2312"/>
          <w:color w:val="auto"/>
          <w:sz w:val="32"/>
          <w:szCs w:val="32"/>
          <w:lang w:val="en-US" w:eastAsia="zh-CN"/>
        </w:rPr>
        <w:t>完全中学</w:t>
      </w:r>
      <w:r>
        <w:rPr>
          <w:rFonts w:hint="eastAsia" w:ascii="仿宋_GB2312" w:hAnsi="仿宋_GB2312" w:eastAsia="仿宋_GB2312" w:cs="仿宋_GB2312"/>
          <w:color w:val="auto"/>
          <w:sz w:val="32"/>
          <w:szCs w:val="32"/>
        </w:rPr>
        <w:t>1所</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对城区3所高中</w:t>
      </w:r>
      <w:r>
        <w:rPr>
          <w:rFonts w:hint="eastAsia" w:ascii="仿宋_GB2312" w:hAnsi="仿宋_GB2312" w:eastAsia="仿宋_GB2312" w:cs="仿宋_GB2312"/>
          <w:color w:val="auto"/>
          <w:sz w:val="32"/>
          <w:szCs w:val="32"/>
          <w:lang w:val="en-US" w:eastAsia="zh-CN"/>
        </w:rPr>
        <w:t>实施综合楼、餐厅、宿舍等一批</w:t>
      </w:r>
      <w:r>
        <w:rPr>
          <w:rFonts w:hint="eastAsia" w:ascii="仿宋_GB2312" w:hAnsi="仿宋_GB2312" w:eastAsia="仿宋_GB2312" w:cs="仿宋_GB2312"/>
          <w:color w:val="auto"/>
          <w:sz w:val="32"/>
          <w:szCs w:val="32"/>
        </w:rPr>
        <w:t>改扩建</w:t>
      </w:r>
      <w:r>
        <w:rPr>
          <w:rFonts w:hint="eastAsia" w:ascii="仿宋_GB2312" w:hAnsi="仿宋_GB2312" w:eastAsia="仿宋_GB2312" w:cs="仿宋_GB2312"/>
          <w:color w:val="auto"/>
          <w:sz w:val="32"/>
          <w:szCs w:val="32"/>
          <w:lang w:val="en-US" w:eastAsia="zh-CN"/>
        </w:rPr>
        <w:t>项目</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val="en-US" w:eastAsia="zh-CN"/>
        </w:rPr>
        <w:t>优化师生学习生活环境。</w:t>
      </w:r>
    </w:p>
    <w:p w14:paraId="550ABEBA">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仿宋_GB2312" w:hAnsi="仿宋_GB2312" w:eastAsia="仿宋_GB2312" w:cs="仿宋_GB2312"/>
          <w:color w:val="auto"/>
          <w:sz w:val="32"/>
          <w:szCs w:val="32"/>
          <w:lang w:val="en-US" w:eastAsia="zh-CN"/>
        </w:rPr>
      </w:pPr>
      <w:r>
        <w:rPr>
          <w:rFonts w:hint="eastAsia" w:ascii="楷体_GB2312" w:hAnsi="楷体_GB2312" w:eastAsia="楷体_GB2312" w:cs="楷体_GB2312"/>
          <w:b/>
          <w:bCs/>
          <w:color w:val="auto"/>
          <w:kern w:val="2"/>
          <w:sz w:val="32"/>
          <w:szCs w:val="32"/>
          <w:u w:val="none"/>
          <w:lang w:val="en-US" w:eastAsia="zh-CN" w:bidi="ar-SA"/>
        </w:rPr>
        <w:t>职业教育融合创新。</w:t>
      </w:r>
      <w:r>
        <w:rPr>
          <w:rFonts w:hint="eastAsia" w:ascii="仿宋_GB2312" w:hAnsi="仿宋_GB2312" w:eastAsia="仿宋_GB2312" w:cs="仿宋_GB2312"/>
          <w:color w:val="auto"/>
          <w:sz w:val="32"/>
          <w:szCs w:val="32"/>
          <w:lang w:val="en-US" w:eastAsia="zh-CN"/>
        </w:rPr>
        <w:t>为完善我县职业教育办学模式和人才培养模式，进一步提升职业教育的吸引力、影响力和竞争力。十五五期间，建成1所省级“双优工程”中职学校和一批优质专业群，提高服务经济社会发展的能力；紧盯办学水平和服务能力提升，系统推进专业课程、教材、教师、实习实训、基地教学等关键要素改革；办好综合高中，推进科技职业学院和扶沟县职业技术学校建设。</w:t>
      </w:r>
    </w:p>
    <w:p w14:paraId="45746468">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楷体_GB2312" w:hAnsi="楷体_GB2312" w:eastAsia="楷体_GB2312" w:cs="楷体_GB2312"/>
          <w:b/>
          <w:bCs/>
          <w:color w:val="auto"/>
          <w:kern w:val="2"/>
          <w:sz w:val="32"/>
          <w:szCs w:val="32"/>
          <w:u w:val="none"/>
          <w:lang w:val="en-US" w:eastAsia="zh-CN" w:bidi="ar-SA"/>
        </w:rPr>
        <w:t>质量教育深度发展。</w:t>
      </w:r>
      <w:r>
        <w:rPr>
          <w:rFonts w:hint="eastAsia" w:ascii="仿宋_GB2312" w:hAnsi="仿宋_GB2312" w:eastAsia="仿宋_GB2312" w:cs="仿宋_GB2312"/>
          <w:color w:val="auto"/>
          <w:sz w:val="32"/>
          <w:szCs w:val="32"/>
          <w:lang w:val="en-US" w:eastAsia="zh-CN"/>
        </w:rPr>
        <w:t>将质量知识融入中小学科普教育和职业教育课程，在职业技术学校开设质量检验、标准化生产等专业方向，与河南工程学院、周口职业技术学院共建纺织产业学院、蔬菜种植实训基地，培育质量专业后备人才。依托“人人持证、技能河南”建设，开展质量技能培训，重点培训蔬菜绿色种植、工业产品检测、标准化生产等技能。组织企业负责人、技术骨干参加质量体系认证、品牌管理等培训，推广ISO9001质量管理体系，引导企业建立全员参与的质量管控机制，规上工业企业质量管理体系认证覆盖率达90%以上。</w:t>
      </w:r>
    </w:p>
    <w:p w14:paraId="7226EB3B">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楷体_GB2312" w:hAnsi="楷体_GB2312" w:eastAsia="楷体_GB2312" w:cs="楷体_GB2312"/>
          <w:b/>
          <w:bCs/>
          <w:color w:val="auto"/>
          <w:kern w:val="2"/>
          <w:sz w:val="32"/>
          <w:szCs w:val="32"/>
          <w:u w:val="none"/>
          <w:lang w:val="en-US" w:eastAsia="zh-CN" w:bidi="ar-SA"/>
        </w:rPr>
        <w:t>教育数字化深度赋能。</w:t>
      </w:r>
      <w:r>
        <w:rPr>
          <w:rFonts w:hint="eastAsia" w:ascii="仿宋_GB2312" w:hAnsi="仿宋_GB2312" w:eastAsia="仿宋_GB2312" w:cs="仿宋_GB2312"/>
          <w:color w:val="auto"/>
          <w:sz w:val="32"/>
          <w:szCs w:val="32"/>
          <w:lang w:val="en-US" w:eastAsia="zh-CN"/>
        </w:rPr>
        <w:t>教育数字化是开辟教育发展新赛道、塑造教育发展新优势的重要突破口。为推动人工智能、大数据等信息技术与教育教学、管理服务深度融合，十五五期间，规划投入4.1亿元，重点实施数字化升级改造项目，构建覆盖城乡的数字教育资源互通网络；以河南省首家县域教育数字化转型研究院为载体，持续深化与河南大学等高校、科技企业的长效合作，巩固河南省信息化教学改革实验区建设成果。</w:t>
      </w:r>
    </w:p>
    <w:p w14:paraId="3DFB0746">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仿宋_GB2312" w:hAnsi="仿宋_GB2312" w:eastAsia="仿宋_GB2312" w:cs="仿宋_GB2312"/>
          <w:color w:val="auto"/>
          <w:sz w:val="32"/>
          <w:szCs w:val="32"/>
          <w:lang w:eastAsia="zh-CN"/>
        </w:rPr>
      </w:pPr>
      <w:r>
        <w:rPr>
          <w:rFonts w:hint="eastAsia" w:ascii="楷体_GB2312" w:hAnsi="楷体_GB2312" w:eastAsia="楷体_GB2312" w:cs="楷体_GB2312"/>
          <w:b/>
          <w:bCs/>
          <w:color w:val="auto"/>
          <w:kern w:val="2"/>
          <w:sz w:val="32"/>
          <w:szCs w:val="32"/>
          <w:u w:val="none"/>
          <w:lang w:val="en-US" w:eastAsia="zh-CN" w:bidi="ar-SA"/>
        </w:rPr>
        <w:t>校园体育融合发展。</w:t>
      </w:r>
      <w:r>
        <w:rPr>
          <w:rFonts w:hint="eastAsia" w:ascii="仿宋_GB2312" w:hAnsi="仿宋_GB2312" w:eastAsia="仿宋_GB2312" w:cs="仿宋_GB2312"/>
          <w:color w:val="auto"/>
          <w:sz w:val="32"/>
          <w:szCs w:val="32"/>
          <w:lang w:val="en-US" w:eastAsia="zh-CN"/>
        </w:rPr>
        <w:t>为全面</w:t>
      </w:r>
      <w:r>
        <w:rPr>
          <w:rFonts w:hint="eastAsia" w:ascii="仿宋_GB2312" w:hAnsi="仿宋_GB2312" w:eastAsia="仿宋_GB2312" w:cs="仿宋_GB2312"/>
          <w:color w:val="auto"/>
          <w:sz w:val="32"/>
          <w:szCs w:val="32"/>
        </w:rPr>
        <w:t>提升</w:t>
      </w:r>
      <w:r>
        <w:rPr>
          <w:rFonts w:hint="eastAsia" w:ascii="仿宋_GB2312" w:hAnsi="仿宋_GB2312" w:eastAsia="仿宋_GB2312" w:cs="仿宋_GB2312"/>
          <w:color w:val="auto"/>
          <w:sz w:val="32"/>
          <w:szCs w:val="32"/>
          <w:lang w:val="en-US" w:eastAsia="zh-CN"/>
        </w:rPr>
        <w:t>学生身体素质和</w:t>
      </w:r>
      <w:r>
        <w:rPr>
          <w:rFonts w:hint="eastAsia" w:ascii="仿宋_GB2312" w:hAnsi="仿宋_GB2312" w:eastAsia="仿宋_GB2312" w:cs="仿宋_GB2312"/>
          <w:color w:val="auto"/>
          <w:sz w:val="32"/>
          <w:szCs w:val="32"/>
        </w:rPr>
        <w:t>体育教学质量</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完善“校内+校外”体育训练体系，推动体育资源进校园、进课堂，</w:t>
      </w:r>
      <w:r>
        <w:rPr>
          <w:rFonts w:hint="eastAsia" w:ascii="仿宋_GB2312" w:hAnsi="仿宋_GB2312" w:eastAsia="仿宋_GB2312" w:cs="仿宋_GB2312"/>
          <w:color w:val="auto"/>
          <w:sz w:val="32"/>
          <w:szCs w:val="32"/>
          <w:lang w:val="en-US" w:eastAsia="zh-CN"/>
        </w:rPr>
        <w:t>积极申报</w:t>
      </w:r>
      <w:r>
        <w:rPr>
          <w:rFonts w:hint="eastAsia" w:ascii="仿宋_GB2312" w:hAnsi="仿宋_GB2312" w:eastAsia="仿宋_GB2312" w:cs="仿宋_GB2312"/>
          <w:color w:val="auto"/>
          <w:sz w:val="32"/>
          <w:szCs w:val="32"/>
        </w:rPr>
        <w:t>国家级校园足球特色学校</w:t>
      </w:r>
      <w:r>
        <w:rPr>
          <w:rFonts w:hint="eastAsia" w:ascii="仿宋_GB2312" w:hAnsi="仿宋_GB2312" w:eastAsia="仿宋_GB2312" w:cs="仿宋_GB2312"/>
          <w:color w:val="auto"/>
          <w:sz w:val="32"/>
          <w:szCs w:val="32"/>
          <w:lang w:val="en-US" w:eastAsia="zh-CN"/>
        </w:rPr>
        <w:t>，以及排球、武术等市级传统项目学校</w:t>
      </w:r>
      <w:r>
        <w:rPr>
          <w:rFonts w:hint="eastAsia" w:ascii="仿宋_GB2312" w:hAnsi="仿宋_GB2312" w:eastAsia="仿宋_GB2312" w:cs="仿宋_GB2312"/>
          <w:color w:val="auto"/>
          <w:sz w:val="32"/>
          <w:szCs w:val="32"/>
        </w:rPr>
        <w:t>，强化青少年体育技能培养与竞技后备人才储备。</w:t>
      </w:r>
      <w:r>
        <w:rPr>
          <w:rFonts w:hint="eastAsia" w:ascii="仿宋_GB2312" w:hAnsi="仿宋_GB2312" w:eastAsia="仿宋_GB2312" w:cs="仿宋_GB2312"/>
          <w:color w:val="auto"/>
          <w:sz w:val="32"/>
          <w:szCs w:val="32"/>
          <w:lang w:val="en-US" w:eastAsia="zh-CN"/>
        </w:rPr>
        <w:t>严格落实《国务院关于实施健康中国行动的意见》，</w:t>
      </w:r>
      <w:r>
        <w:rPr>
          <w:rFonts w:hint="eastAsia" w:ascii="仿宋_GB2312" w:hAnsi="仿宋_GB2312" w:eastAsia="仿宋_GB2312" w:cs="仿宋_GB2312"/>
          <w:color w:val="auto"/>
          <w:sz w:val="32"/>
          <w:szCs w:val="32"/>
        </w:rPr>
        <w:t>到2030年</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实现</w:t>
      </w:r>
      <w:r>
        <w:rPr>
          <w:rFonts w:hint="eastAsia" w:ascii="仿宋_GB2312" w:hAnsi="仿宋_GB2312" w:eastAsia="仿宋_GB2312" w:cs="仿宋_GB2312"/>
          <w:color w:val="auto"/>
          <w:sz w:val="32"/>
          <w:szCs w:val="32"/>
        </w:rPr>
        <w:t>学生体质健康</w:t>
      </w:r>
      <w:r>
        <w:rPr>
          <w:rFonts w:hint="eastAsia" w:ascii="仿宋_GB2312" w:hAnsi="仿宋_GB2312" w:eastAsia="仿宋_GB2312" w:cs="仿宋_GB2312"/>
          <w:color w:val="auto"/>
          <w:sz w:val="32"/>
          <w:szCs w:val="32"/>
          <w:lang w:val="en-US" w:eastAsia="zh-CN"/>
        </w:rPr>
        <w:t>优良</w:t>
      </w:r>
      <w:r>
        <w:rPr>
          <w:rFonts w:hint="eastAsia" w:ascii="仿宋_GB2312" w:hAnsi="仿宋_GB2312" w:eastAsia="仿宋_GB2312" w:cs="仿宋_GB2312"/>
          <w:color w:val="auto"/>
          <w:sz w:val="32"/>
          <w:szCs w:val="32"/>
        </w:rPr>
        <w:t>率</w:t>
      </w:r>
      <w:r>
        <w:rPr>
          <w:rFonts w:hint="eastAsia" w:ascii="仿宋_GB2312" w:hAnsi="仿宋_GB2312" w:eastAsia="仿宋_GB2312" w:cs="仿宋_GB2312"/>
          <w:color w:val="auto"/>
          <w:sz w:val="32"/>
          <w:szCs w:val="32"/>
          <w:lang w:val="en-US" w:eastAsia="zh-CN"/>
        </w:rPr>
        <w:t>60</w:t>
      </w:r>
      <w:r>
        <w:rPr>
          <w:rFonts w:hint="eastAsia" w:ascii="仿宋_GB2312" w:hAnsi="仿宋_GB2312" w:eastAsia="仿宋_GB2312" w:cs="仿宋_GB2312"/>
          <w:color w:val="auto"/>
          <w:sz w:val="32"/>
          <w:szCs w:val="32"/>
        </w:rPr>
        <w:t>%以上，力争每年近视率降低0.5个百分点以上</w:t>
      </w:r>
      <w:r>
        <w:rPr>
          <w:rFonts w:hint="eastAsia" w:ascii="仿宋_GB2312" w:hAnsi="仿宋_GB2312" w:eastAsia="仿宋_GB2312" w:cs="仿宋_GB2312"/>
          <w:color w:val="auto"/>
          <w:sz w:val="32"/>
          <w:szCs w:val="32"/>
          <w:lang w:eastAsia="zh-CN"/>
        </w:rPr>
        <w:t>。</w:t>
      </w:r>
    </w:p>
    <w:p w14:paraId="72378286">
      <w:pPr>
        <w:keepNext w:val="0"/>
        <w:keepLines w:val="0"/>
        <w:pageBreakBefore w:val="0"/>
        <w:widowControl w:val="0"/>
        <w:kinsoku/>
        <w:wordWrap/>
        <w:overflowPunct/>
        <w:topLinePunct w:val="0"/>
        <w:autoSpaceDE/>
        <w:autoSpaceDN/>
        <w:bidi w:val="0"/>
        <w:adjustRightInd w:val="0"/>
        <w:snapToGrid w:val="0"/>
        <w:spacing w:after="721" w:afterLines="200" w:line="560" w:lineRule="exact"/>
        <w:ind w:firstLine="643"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楷体_GB2312" w:hAnsi="楷体_GB2312" w:eastAsia="楷体_GB2312" w:cs="楷体_GB2312"/>
          <w:b/>
          <w:bCs/>
          <w:color w:val="auto"/>
          <w:sz w:val="32"/>
          <w:szCs w:val="32"/>
          <w:lang w:val="en-US" w:eastAsia="zh-CN"/>
        </w:rPr>
        <w:t>尊师惠教举措落实。</w:t>
      </w:r>
      <w:r>
        <w:rPr>
          <w:rFonts w:hint="eastAsia" w:ascii="仿宋_GB2312" w:hAnsi="仿宋_GB2312" w:eastAsia="仿宋_GB2312" w:cs="仿宋_GB2312"/>
          <w:color w:val="auto"/>
          <w:sz w:val="32"/>
          <w:szCs w:val="32"/>
          <w:lang w:val="en-US" w:eastAsia="zh-CN"/>
        </w:rPr>
        <w:t>为弘扬尊师重教社会风尚，切实加强教师待遇保障，统筹社会力量，进一步落实医疗健康、文化提升、生活服务、住房保障等方面的尊师惠教举措，不断增强教师的获得感、荣誉感和幸福感</w:t>
      </w:r>
      <w:r>
        <w:rPr>
          <w:rFonts w:hint="eastAsia" w:ascii="Times New Roman" w:hAnsi="Times New Roman" w:eastAsia="仿宋_GB2312" w:cs="Times New Roman"/>
          <w:color w:val="auto"/>
          <w:kern w:val="2"/>
          <w:sz w:val="32"/>
          <w:szCs w:val="32"/>
          <w:highlight w:val="none"/>
          <w:u w:val="none"/>
          <w:lang w:val="en-US" w:eastAsia="zh-CN" w:bidi="ar"/>
        </w:rPr>
        <w:t>。</w:t>
      </w:r>
    </w:p>
    <w:p w14:paraId="682E32A5">
      <w:pPr>
        <w:keepNext w:val="0"/>
        <w:keepLines w:val="0"/>
        <w:pageBreakBefore w:val="0"/>
        <w:widowControl w:val="0"/>
        <w:kinsoku/>
        <w:wordWrap/>
        <w:overflowPunct/>
        <w:topLinePunct w:val="0"/>
        <w:autoSpaceDE/>
        <w:autoSpaceDN/>
        <w:bidi w:val="0"/>
        <w:adjustRightInd w:val="0"/>
        <w:snapToGrid w:val="0"/>
        <w:spacing w:after="721" w:afterLines="200" w:line="560" w:lineRule="exact"/>
        <w:ind w:firstLine="640"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p>
    <w:tbl>
      <w:tblPr>
        <w:tblStyle w:val="2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74"/>
      </w:tblGrid>
      <w:tr w14:paraId="001C54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jc w:val="center"/>
        </w:trPr>
        <w:tc>
          <w:tcPr>
            <w:tcW w:w="8674" w:type="dxa"/>
            <w:noWrap w:val="0"/>
            <w:vAlign w:val="center"/>
          </w:tcPr>
          <w:p w14:paraId="26BDEF42">
            <w:pPr>
              <w:keepNext w:val="0"/>
              <w:keepLines w:val="0"/>
              <w:pageBreakBefore w:val="0"/>
              <w:widowControl w:val="0"/>
              <w:suppressLineNumbers w:val="0"/>
              <w:kinsoku/>
              <w:wordWrap/>
              <w:overflowPunct/>
              <w:topLinePunct w:val="0"/>
              <w:autoSpaceDE/>
              <w:autoSpaceDN/>
              <w:bidi w:val="0"/>
              <w:adjustRightInd w:val="0"/>
              <w:snapToGrid w:val="0"/>
              <w:spacing w:beforeAutospacing="0" w:afterAutospacing="0" w:line="400" w:lineRule="exact"/>
              <w:ind w:left="0" w:right="0" w:firstLine="0" w:firstLineChars="0"/>
              <w:jc w:val="center"/>
              <w:textAlignment w:val="auto"/>
              <w:rPr>
                <w:rFonts w:hint="default" w:ascii="Times New Roman" w:hAnsi="Times New Roman" w:eastAsia="仿宋" w:cs="Times New Roman"/>
                <w:color w:val="auto"/>
                <w:sz w:val="28"/>
                <w:szCs w:val="28"/>
                <w:highlight w:val="none"/>
                <w:u w:val="none"/>
                <w:shd w:val="clear" w:color="auto" w:fill="FFFFFF"/>
              </w:rPr>
            </w:pPr>
            <w:r>
              <w:rPr>
                <w:rFonts w:hint="eastAsia" w:ascii="楷体_GB2312" w:hAnsi="楷体_GB2312" w:eastAsia="楷体_GB2312" w:cs="楷体_GB2312"/>
                <w:b/>
                <w:bCs w:val="0"/>
                <w:color w:val="auto"/>
                <w:sz w:val="28"/>
                <w:szCs w:val="28"/>
                <w:highlight w:val="none"/>
                <w:u w:val="none"/>
                <w:shd w:val="clear" w:color="auto" w:fill="FFFFFF"/>
                <w:lang w:val="en-US" w:eastAsia="zh-CN"/>
              </w:rPr>
              <w:t>专栏12-1：“十五五”期间教育重点项目</w:t>
            </w:r>
          </w:p>
        </w:tc>
      </w:tr>
      <w:tr w14:paraId="571247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jc w:val="center"/>
        </w:trPr>
        <w:tc>
          <w:tcPr>
            <w:tcW w:w="8674" w:type="dxa"/>
            <w:noWrap w:val="0"/>
            <w:vAlign w:val="center"/>
          </w:tcPr>
          <w:p w14:paraId="035C63E5">
            <w:pPr>
              <w:keepNext w:val="0"/>
              <w:keepLines w:val="0"/>
              <w:pageBreakBefore w:val="0"/>
              <w:widowControl w:val="0"/>
              <w:suppressLineNumbers w:val="0"/>
              <w:kinsoku/>
              <w:wordWrap/>
              <w:overflowPunct/>
              <w:topLinePunct w:val="0"/>
              <w:autoSpaceDE/>
              <w:autoSpaceDN/>
              <w:bidi w:val="0"/>
              <w:adjustRightInd w:val="0"/>
              <w:snapToGrid w:val="0"/>
              <w:spacing w:beforeAutospacing="0" w:afterAutospacing="0" w:line="400" w:lineRule="exact"/>
              <w:ind w:left="0" w:right="0" w:firstLine="562" w:firstLineChars="200"/>
              <w:jc w:val="both"/>
              <w:textAlignment w:val="auto"/>
              <w:rPr>
                <w:rFonts w:hint="eastAsia"/>
                <w:lang w:val="en-US" w:eastAsia="zh-CN"/>
              </w:rPr>
            </w:pPr>
            <w:r>
              <w:rPr>
                <w:rFonts w:hint="eastAsia" w:ascii="Times New Roman" w:hAnsi="Times New Roman" w:eastAsia="仿宋_GB2312" w:cs="Times New Roman"/>
                <w:b/>
                <w:bCs/>
                <w:color w:val="auto"/>
                <w:kern w:val="2"/>
                <w:sz w:val="28"/>
                <w:szCs w:val="28"/>
                <w:highlight w:val="none"/>
                <w:u w:val="none"/>
                <w:lang w:val="en-US" w:eastAsia="zh-CN" w:bidi="ar-SA"/>
              </w:rPr>
              <w:t>重点实施</w:t>
            </w:r>
            <w:r>
              <w:rPr>
                <w:rFonts w:hint="eastAsia" w:ascii="Times New Roman" w:hAnsi="Times New Roman" w:eastAsia="仿宋_GB2312" w:cs="Times New Roman"/>
                <w:b w:val="0"/>
                <w:bCs w:val="0"/>
                <w:color w:val="auto"/>
                <w:kern w:val="2"/>
                <w:sz w:val="28"/>
                <w:szCs w:val="28"/>
                <w:highlight w:val="none"/>
                <w:u w:val="none"/>
                <w:lang w:val="en-US" w:eastAsia="zh-CN" w:bidi="ar-SA"/>
              </w:rPr>
              <w:t>扶沟县立雪路学校建设项目、扶沟县第二实验小学建设项目、扶沟县第二实验中学建设项目、扶沟县启正学校建设项目、大程科技职业学院建设项目、扶沟县职业技术学院建设项目、扶沟县特殊教育学校迁建项目、扶沟县完全中学建设项目。</w:t>
            </w:r>
          </w:p>
        </w:tc>
      </w:tr>
    </w:tbl>
    <w:p w14:paraId="37001EC9">
      <w:pPr>
        <w:keepNext/>
        <w:keepLines/>
        <w:pageBreakBefore w:val="0"/>
        <w:widowControl w:val="0"/>
        <w:numPr>
          <w:ilvl w:val="0"/>
          <w:numId w:val="0"/>
        </w:numPr>
        <w:kinsoku/>
        <w:wordWrap/>
        <w:overflowPunct/>
        <w:topLinePunct w:val="0"/>
        <w:autoSpaceDE/>
        <w:autoSpaceDN/>
        <w:bidi w:val="0"/>
        <w:adjustRightInd w:val="0"/>
        <w:snapToGrid w:val="0"/>
        <w:spacing w:before="541" w:beforeLines="150" w:after="156" w:afterLines="50" w:line="560" w:lineRule="exact"/>
        <w:ind w:leftChars="0"/>
        <w:jc w:val="center"/>
        <w:textAlignment w:val="auto"/>
        <w:outlineLvl w:val="2"/>
        <w:rPr>
          <w:rFonts w:hint="eastAsia" w:ascii="Times New Roman" w:hAnsi="Times New Roman" w:eastAsia="黑体" w:cs="Times New Roman"/>
          <w:b/>
          <w:bCs/>
          <w:color w:val="auto"/>
          <w:kern w:val="2"/>
          <w:sz w:val="32"/>
          <w:szCs w:val="32"/>
          <w:highlight w:val="none"/>
          <w:u w:val="none"/>
          <w:lang w:val="en-US" w:eastAsia="zh-CN" w:bidi="ar-SA"/>
        </w:rPr>
      </w:pPr>
      <w:bookmarkStart w:id="247" w:name="_Toc6039"/>
      <w:bookmarkStart w:id="248" w:name="_Toc17598"/>
      <w:bookmarkStart w:id="249" w:name="_Toc21965"/>
      <w:r>
        <w:rPr>
          <w:rFonts w:hint="eastAsia" w:ascii="Times New Roman" w:hAnsi="Times New Roman" w:eastAsia="黑体" w:cs="Times New Roman"/>
          <w:b/>
          <w:bCs/>
          <w:color w:val="auto"/>
          <w:kern w:val="2"/>
          <w:sz w:val="32"/>
          <w:szCs w:val="32"/>
          <w:highlight w:val="none"/>
          <w:u w:val="none"/>
          <w:lang w:val="en-US" w:eastAsia="zh-CN" w:bidi="ar-SA"/>
        </w:rPr>
        <w:t>第三节着力建设健康扶沟</w:t>
      </w:r>
      <w:bookmarkEnd w:id="247"/>
      <w:bookmarkEnd w:id="248"/>
      <w:bookmarkEnd w:id="249"/>
    </w:p>
    <w:p w14:paraId="0F04256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坚持以人民为中心的发展思想，牢固树立和贯彻落实新发展理念，以提高人民健康水平为核心，以体制机制改革创新为动力，深入实施健康扶沟行动，全方位、全周期维护和保障人民健康。</w:t>
      </w:r>
    </w:p>
    <w:p w14:paraId="162DCA3E">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仿宋_GB2312" w:hAnsi="仿宋_GB2312" w:eastAsia="仿宋_GB2312" w:cs="仿宋_GB2312"/>
          <w:color w:val="auto"/>
          <w:sz w:val="32"/>
          <w:szCs w:val="32"/>
          <w:lang w:val="en-US" w:eastAsia="zh-CN"/>
        </w:rPr>
      </w:pPr>
      <w:r>
        <w:rPr>
          <w:rFonts w:hint="eastAsia" w:ascii="楷体_GB2312" w:hAnsi="楷体_GB2312" w:eastAsia="楷体_GB2312" w:cs="楷体_GB2312"/>
          <w:b/>
          <w:bCs/>
          <w:color w:val="auto"/>
          <w:sz w:val="32"/>
          <w:szCs w:val="32"/>
          <w:lang w:val="en-US" w:eastAsia="zh-CN"/>
        </w:rPr>
        <w:t>实施健康优先发展战略。</w:t>
      </w:r>
      <w:r>
        <w:rPr>
          <w:rFonts w:hint="eastAsia" w:ascii="仿宋_GB2312" w:hAnsi="仿宋_GB2312" w:eastAsia="仿宋_GB2312" w:cs="仿宋_GB2312"/>
          <w:color w:val="auto"/>
          <w:sz w:val="32"/>
          <w:szCs w:val="32"/>
          <w:lang w:val="en-US" w:eastAsia="zh-CN"/>
        </w:rPr>
        <w:t>推动将健康理念融入所有政策，动员全民参与健康促进，形成健康扶沟建设的强大合力。深入开展爱国卫生运动，加强重点场所和薄弱环节环境卫生治理，努力控制主要健康影响因素和危害人类健康的重大疾病，提高人均预期寿命和人民健康水平。普及健康生活方式，广泛开展合理膳食、适量运动、心理平衡等健康行为干预，推动健康教育进社区、进校园、进机关、进企业、进农村。加大“健康素养66条”宣传普及，提高居民健康素养水平。</w:t>
      </w:r>
    </w:p>
    <w:p w14:paraId="6CB73E6B">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仿宋_GB2312" w:hAnsi="仿宋_GB2312" w:eastAsia="仿宋_GB2312" w:cs="仿宋_GB2312"/>
          <w:color w:val="auto"/>
          <w:sz w:val="32"/>
          <w:szCs w:val="32"/>
          <w:lang w:val="en-US" w:eastAsia="zh-CN"/>
        </w:rPr>
      </w:pPr>
      <w:r>
        <w:rPr>
          <w:rFonts w:hint="eastAsia" w:ascii="楷体_GB2312" w:hAnsi="楷体_GB2312" w:eastAsia="楷体_GB2312" w:cs="楷体_GB2312"/>
          <w:b/>
          <w:bCs/>
          <w:color w:val="auto"/>
          <w:sz w:val="32"/>
          <w:szCs w:val="32"/>
          <w:lang w:val="en-US" w:eastAsia="zh-CN"/>
        </w:rPr>
        <w:t>提高医疗服务质量。</w:t>
      </w:r>
      <w:r>
        <w:rPr>
          <w:rFonts w:hint="eastAsia" w:ascii="仿宋_GB2312" w:hAnsi="仿宋_GB2312" w:eastAsia="仿宋_GB2312" w:cs="仿宋_GB2312"/>
          <w:color w:val="auto"/>
          <w:sz w:val="32"/>
          <w:szCs w:val="32"/>
          <w:lang w:val="en-US" w:eastAsia="zh-CN"/>
        </w:rPr>
        <w:t>建好“三所医院”，推动县人民医院“三甲”等级评审，县中医院“三级”、县妇幼保健院“二甲”创建，提升县域内常见病、多发病诊疗及急危重症、疑难病症救治能力。优化医疗服务模式，持续推进急诊急救五大中心和临床服务五大中心建设，为群众提供医疗救治“绿色”通道和一体化综合救治服务。实施医疗卫生强基工程，深化基层医疗机构标准化、信息化、规范化建设，推进乡镇卫生院中医、康复、儿科、慢性病等服务广泛覆盖。推进中医药传承创新，推动中医药服务融入现代健康服务体系。</w:t>
      </w:r>
    </w:p>
    <w:p w14:paraId="0B12DE92">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default" w:ascii="仿宋_GB2312" w:hAnsi="仿宋_GB2312" w:eastAsia="仿宋_GB2312" w:cs="仿宋_GB2312"/>
          <w:color w:val="auto"/>
          <w:sz w:val="32"/>
          <w:szCs w:val="32"/>
          <w:lang w:val="en-US" w:eastAsia="zh-CN"/>
        </w:rPr>
      </w:pPr>
      <w:r>
        <w:rPr>
          <w:rFonts w:hint="eastAsia" w:ascii="楷体_GB2312" w:hAnsi="楷体_GB2312" w:eastAsia="楷体_GB2312" w:cs="楷体_GB2312"/>
          <w:b/>
          <w:bCs/>
          <w:color w:val="auto"/>
          <w:sz w:val="32"/>
          <w:szCs w:val="32"/>
          <w:lang w:val="en-US" w:eastAsia="zh-CN"/>
        </w:rPr>
        <w:t>强化公共卫生能力。</w:t>
      </w:r>
      <w:r>
        <w:rPr>
          <w:rFonts w:hint="eastAsia" w:ascii="仿宋_GB2312" w:hAnsi="仿宋_GB2312" w:eastAsia="仿宋_GB2312" w:cs="仿宋_GB2312"/>
          <w:color w:val="auto"/>
          <w:sz w:val="32"/>
          <w:szCs w:val="32"/>
          <w:lang w:val="en-US" w:eastAsia="zh-CN"/>
        </w:rPr>
        <w:t>持续落实疾控体系改革，坚持预防为主、医防协同，全面加强重点传染病防控，巩固提升免疫规划屏障，不断降低重点传染病的流行水平。健全疾病预防控制机制，提升县疾控中心智慧化预警、流行病学调查、实验室检测能力，完善重大疫情医疗救治体系，提高突发公共卫生事件监测预警和应急处置能力。全面落实慢性病与健康管理服务，加强重大慢性疾病早筛早诊早治，提升发现率、治疗率与控制率。加强卫生监督执法体系建设，加大公共卫生、医疗卫生、职业卫生等领域监管力度。加强心理健康和精神卫生服务。稳步推进五级残疾人康复体系建设，持续深化残疾预防和康复服务。</w:t>
      </w:r>
    </w:p>
    <w:p w14:paraId="0F023E71">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仿宋_GB2312" w:hAnsi="仿宋_GB2312" w:eastAsia="仿宋_GB2312" w:cs="仿宋_GB2312"/>
          <w:color w:val="auto"/>
          <w:sz w:val="32"/>
          <w:szCs w:val="32"/>
          <w:lang w:val="en-US" w:eastAsia="zh-CN"/>
        </w:rPr>
      </w:pPr>
      <w:r>
        <w:rPr>
          <w:rFonts w:hint="eastAsia" w:ascii="楷体_GB2312" w:hAnsi="楷体_GB2312" w:eastAsia="楷体_GB2312" w:cs="楷体_GB2312"/>
          <w:b/>
          <w:bCs/>
          <w:color w:val="auto"/>
          <w:sz w:val="32"/>
          <w:szCs w:val="32"/>
          <w:lang w:val="en-US" w:eastAsia="zh-CN"/>
        </w:rPr>
        <w:t>深化医药卫生体制改革。</w:t>
      </w:r>
      <w:r>
        <w:rPr>
          <w:rFonts w:hint="eastAsia" w:ascii="仿宋_GB2312" w:hAnsi="仿宋_GB2312" w:eastAsia="仿宋_GB2312" w:cs="仿宋_GB2312"/>
          <w:color w:val="auto"/>
          <w:sz w:val="32"/>
          <w:szCs w:val="32"/>
          <w:lang w:val="en-US" w:eastAsia="zh-CN"/>
        </w:rPr>
        <w:t>推进医疗、医保和医药协同发展和治理，以公益性为导向深化公立医院改革。深化公立医院编制、服务价格、薪酬制度、综合监管改革，加强公立医疗机构运行保障。推进紧密型县域医共体建设，推动县、乡、村各级各类医疗卫生机构落实梯度功能定位，大力发展各级医疗机构之间的帮扶协同协作关系，推广和推行巡回医疗、移动医疗和远程医疗，推动分级诊疗取得更显著进展。加强医疗机构药品配备使用管理，巩固基本药物制度，建立规范的药品供应保障制度体系。加强数字化医院建设，拓展“互联网+医疗健康”</w:t>
      </w:r>
      <w:r>
        <w:rPr>
          <w:rFonts w:hint="eastAsia" w:ascii="仿宋_GB2312" w:hAnsi="仿宋_GB2312" w:eastAsia="仿宋_GB2312" w:cs="仿宋_GB2312"/>
          <w:strike w:val="0"/>
          <w:dstrike w:val="0"/>
          <w:color w:val="auto"/>
          <w:sz w:val="32"/>
          <w:szCs w:val="32"/>
          <w:vertAlign w:val="baseline"/>
          <w:lang w:val="en-US" w:eastAsia="zh-CN"/>
        </w:rPr>
        <w:t>服务体系建设，赋能县域健康服务高质量发展</w:t>
      </w:r>
      <w:r>
        <w:rPr>
          <w:rFonts w:hint="eastAsia" w:ascii="仿宋_GB2312" w:hAnsi="仿宋_GB2312" w:eastAsia="仿宋_GB2312" w:cs="仿宋_GB2312"/>
          <w:color w:val="auto"/>
          <w:sz w:val="32"/>
          <w:szCs w:val="32"/>
          <w:lang w:val="en-US" w:eastAsia="zh-CN"/>
        </w:rPr>
        <w:t>。</w:t>
      </w:r>
    </w:p>
    <w:p w14:paraId="5249CEEA">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仿宋_GB2312" w:hAnsi="仿宋_GB2312" w:eastAsia="仿宋_GB2312" w:cs="仿宋_GB2312"/>
          <w:color w:val="auto"/>
          <w:sz w:val="32"/>
          <w:szCs w:val="32"/>
          <w:lang w:val="en-US" w:eastAsia="zh-CN"/>
        </w:rPr>
      </w:pPr>
      <w:r>
        <w:rPr>
          <w:rFonts w:hint="eastAsia" w:ascii="楷体_GB2312" w:hAnsi="楷体_GB2312" w:eastAsia="楷体_GB2312" w:cs="楷体_GB2312"/>
          <w:b/>
          <w:bCs/>
          <w:color w:val="auto"/>
          <w:sz w:val="32"/>
          <w:szCs w:val="32"/>
          <w:lang w:val="en-US" w:eastAsia="zh-CN"/>
        </w:rPr>
        <w:t>促进人口高质量发展。</w:t>
      </w:r>
      <w:r>
        <w:rPr>
          <w:rFonts w:hint="eastAsia" w:ascii="仿宋_GB2312" w:hAnsi="仿宋_GB2312" w:eastAsia="仿宋_GB2312" w:cs="仿宋_GB2312"/>
          <w:color w:val="auto"/>
          <w:sz w:val="32"/>
          <w:szCs w:val="32"/>
          <w:lang w:val="en-US" w:eastAsia="zh-CN"/>
        </w:rPr>
        <w:t>落实国家生育政策，建立健全生育补贴制度，切实减轻家庭生育、养育负担。充分调动社会力量积极性，积极开展托幼一体服务，充分调动各方力量和积极性，引导用人单位办托、社区嵌入式托育、家庭托育点等多元主体发展多样化的托育服务。深化老年人、儿童和妇女等重点群体健康服务体系建设，积极应对人口老龄化。</w:t>
      </w:r>
    </w:p>
    <w:p w14:paraId="108BAD68">
      <w:pPr>
        <w:keepNext w:val="0"/>
        <w:keepLines w:val="0"/>
        <w:pageBreakBefore w:val="0"/>
        <w:widowControl w:val="0"/>
        <w:kinsoku/>
        <w:wordWrap/>
        <w:overflowPunct/>
        <w:topLinePunct w:val="0"/>
        <w:autoSpaceDE/>
        <w:autoSpaceDN/>
        <w:bidi w:val="0"/>
        <w:adjustRightInd w:val="0"/>
        <w:snapToGrid w:val="0"/>
        <w:spacing w:after="721" w:afterLines="200" w:line="560" w:lineRule="exact"/>
        <w:ind w:firstLine="643"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楷体_GB2312" w:hAnsi="楷体_GB2312" w:eastAsia="楷体_GB2312" w:cs="楷体_GB2312"/>
          <w:b/>
          <w:bCs/>
          <w:color w:val="auto"/>
          <w:sz w:val="32"/>
          <w:szCs w:val="32"/>
          <w:lang w:val="en-US" w:eastAsia="zh-CN"/>
        </w:rPr>
        <w:t>公共体育服务提质。</w:t>
      </w:r>
      <w:r>
        <w:rPr>
          <w:rFonts w:hint="eastAsia" w:ascii="仿宋_GB2312" w:hAnsi="仿宋_GB2312" w:eastAsia="仿宋_GB2312" w:cs="仿宋_GB2312"/>
          <w:color w:val="auto"/>
          <w:sz w:val="32"/>
          <w:szCs w:val="32"/>
          <w:lang w:val="en-US" w:eastAsia="zh-CN"/>
        </w:rPr>
        <w:t>建设乡村“15分钟健身圈”和城区“10分钟健身圈”工程；利用贾鲁河生态廊道、蔬菜产业园等资源，打造乡村特色户外运动目的地；推动全民健身中心、体育公园等设施建设，推广健步走、广场舞等符合县域特色的健身项目，打造3-5个乡村体育示范基地；到2030年，全县经常体育锻炼人数比例达到40%，促进全民健身与全民健康深度融合。</w:t>
      </w:r>
    </w:p>
    <w:tbl>
      <w:tblPr>
        <w:tblStyle w:val="2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74"/>
      </w:tblGrid>
      <w:tr w14:paraId="77739A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jc w:val="center"/>
        </w:trPr>
        <w:tc>
          <w:tcPr>
            <w:tcW w:w="8674" w:type="dxa"/>
            <w:noWrap w:val="0"/>
            <w:vAlign w:val="center"/>
          </w:tcPr>
          <w:p w14:paraId="55ACAE99">
            <w:pPr>
              <w:keepNext w:val="0"/>
              <w:keepLines w:val="0"/>
              <w:pageBreakBefore w:val="0"/>
              <w:widowControl w:val="0"/>
              <w:suppressLineNumbers w:val="0"/>
              <w:kinsoku/>
              <w:wordWrap/>
              <w:overflowPunct/>
              <w:topLinePunct w:val="0"/>
              <w:autoSpaceDE/>
              <w:autoSpaceDN/>
              <w:bidi w:val="0"/>
              <w:adjustRightInd w:val="0"/>
              <w:snapToGrid w:val="0"/>
              <w:spacing w:beforeAutospacing="0" w:afterAutospacing="0" w:line="400" w:lineRule="exact"/>
              <w:ind w:left="0" w:right="0" w:firstLine="0" w:firstLineChars="0"/>
              <w:jc w:val="center"/>
              <w:textAlignment w:val="auto"/>
              <w:rPr>
                <w:rFonts w:hint="default" w:ascii="Times New Roman" w:hAnsi="Times New Roman" w:eastAsia="仿宋" w:cs="Times New Roman"/>
                <w:color w:val="auto"/>
                <w:sz w:val="28"/>
                <w:szCs w:val="28"/>
                <w:highlight w:val="none"/>
                <w:u w:val="none"/>
                <w:shd w:val="clear" w:color="auto" w:fill="FFFFFF"/>
              </w:rPr>
            </w:pPr>
            <w:r>
              <w:rPr>
                <w:rFonts w:hint="eastAsia" w:ascii="楷体_GB2312" w:hAnsi="楷体_GB2312" w:eastAsia="楷体_GB2312" w:cs="楷体_GB2312"/>
                <w:b/>
                <w:bCs w:val="0"/>
                <w:color w:val="auto"/>
                <w:sz w:val="28"/>
                <w:szCs w:val="28"/>
                <w:highlight w:val="none"/>
                <w:u w:val="none"/>
                <w:shd w:val="clear" w:color="auto" w:fill="FFFFFF"/>
                <w:lang w:val="en-US" w:eastAsia="zh-CN"/>
              </w:rPr>
              <w:t>专栏12-2：“十五五”期间健康扶沟重点项目</w:t>
            </w:r>
          </w:p>
        </w:tc>
      </w:tr>
      <w:tr w14:paraId="4C5685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jc w:val="center"/>
        </w:trPr>
        <w:tc>
          <w:tcPr>
            <w:tcW w:w="8674" w:type="dxa"/>
            <w:noWrap w:val="0"/>
            <w:vAlign w:val="center"/>
          </w:tcPr>
          <w:p w14:paraId="3E5E2444">
            <w:pPr>
              <w:keepNext w:val="0"/>
              <w:keepLines w:val="0"/>
              <w:pageBreakBefore w:val="0"/>
              <w:widowControl w:val="0"/>
              <w:kinsoku/>
              <w:wordWrap/>
              <w:overflowPunct/>
              <w:topLinePunct w:val="0"/>
              <w:autoSpaceDE/>
              <w:autoSpaceDN/>
              <w:bidi w:val="0"/>
              <w:adjustRightInd w:val="0"/>
              <w:snapToGrid w:val="0"/>
              <w:spacing w:line="400" w:lineRule="exact"/>
              <w:ind w:firstLine="562" w:firstLineChars="200"/>
              <w:textAlignment w:val="auto"/>
              <w:rPr>
                <w:rFonts w:hint="eastAsia" w:ascii="Times New Roman" w:hAnsi="Times New Roman" w:eastAsia="仿宋_GB2312" w:cs="Times New Roman"/>
                <w:color w:val="auto"/>
                <w:kern w:val="2"/>
                <w:sz w:val="28"/>
                <w:szCs w:val="28"/>
                <w:highlight w:val="none"/>
                <w:u w:val="none"/>
                <w:lang w:val="en-US" w:eastAsia="zh-CN" w:bidi="ar-SA"/>
              </w:rPr>
            </w:pPr>
            <w:r>
              <w:rPr>
                <w:rFonts w:hint="eastAsia" w:ascii="Times New Roman" w:hAnsi="Times New Roman" w:eastAsia="仿宋_GB2312" w:cs="Times New Roman"/>
                <w:b/>
                <w:bCs/>
                <w:color w:val="auto"/>
                <w:kern w:val="2"/>
                <w:sz w:val="28"/>
                <w:szCs w:val="28"/>
                <w:highlight w:val="none"/>
                <w:u w:val="none"/>
                <w:lang w:val="en-US" w:eastAsia="zh-CN" w:bidi="ar-SA"/>
              </w:rPr>
              <w:t>重点实施</w:t>
            </w:r>
            <w:r>
              <w:rPr>
                <w:rFonts w:hint="eastAsia" w:ascii="Times New Roman" w:hAnsi="Times New Roman" w:eastAsia="仿宋_GB2312" w:cs="Times New Roman"/>
                <w:color w:val="auto"/>
                <w:kern w:val="2"/>
                <w:sz w:val="28"/>
                <w:szCs w:val="28"/>
                <w:highlight w:val="none"/>
                <w:u w:val="none"/>
                <w:lang w:val="en-US" w:eastAsia="zh-CN" w:bidi="ar-SA"/>
              </w:rPr>
              <w:t>医疗卫生服务能力提升项目。聚焦医疗机构基础设施与服务能力提升，涵盖县人民医院、中医院、妇幼保健院、精神病医院及基层卫生院建设，包括县域医疗中心住院部建设项目、县人民医院病房楼改造工程建设项目等基础设施改造升级，县中医院“两专科一中心”急诊重症监护室和介入手术导管室建设项目、医疗资源共享中心建设项目，县妇幼保健计划生育服务中心分院建设项目，县精神病医院能力提升建设项目，白潭县域医疗卫生次中心提质升级等9个建设项目。</w:t>
            </w:r>
          </w:p>
          <w:p w14:paraId="24784DE3">
            <w:pPr>
              <w:keepNext w:val="0"/>
              <w:keepLines w:val="0"/>
              <w:pageBreakBefore w:val="0"/>
              <w:widowControl w:val="0"/>
              <w:kinsoku/>
              <w:wordWrap/>
              <w:overflowPunct/>
              <w:topLinePunct w:val="0"/>
              <w:autoSpaceDE/>
              <w:autoSpaceDN/>
              <w:bidi w:val="0"/>
              <w:adjustRightInd w:val="0"/>
              <w:snapToGrid w:val="0"/>
              <w:spacing w:line="400" w:lineRule="exact"/>
              <w:ind w:firstLine="560" w:firstLineChars="200"/>
              <w:textAlignment w:val="auto"/>
              <w:rPr>
                <w:rFonts w:hint="eastAsia" w:ascii="Times New Roman" w:hAnsi="Times New Roman" w:eastAsia="仿宋_GB2312" w:cs="Times New Roman"/>
                <w:color w:val="auto"/>
                <w:kern w:val="2"/>
                <w:sz w:val="28"/>
                <w:szCs w:val="28"/>
                <w:highlight w:val="none"/>
                <w:u w:val="none"/>
                <w:lang w:val="en-US" w:eastAsia="zh-CN" w:bidi="ar-SA"/>
              </w:rPr>
            </w:pPr>
            <w:r>
              <w:rPr>
                <w:rFonts w:hint="eastAsia" w:ascii="Times New Roman" w:hAnsi="Times New Roman" w:eastAsia="仿宋_GB2312" w:cs="Times New Roman"/>
                <w:color w:val="auto"/>
                <w:kern w:val="2"/>
                <w:sz w:val="28"/>
                <w:szCs w:val="28"/>
                <w:highlight w:val="none"/>
                <w:u w:val="none"/>
                <w:lang w:val="en-US" w:eastAsia="zh-CN" w:bidi="ar-SA"/>
              </w:rPr>
              <w:t>医疗设备购置项目。围绕医疗设备更新迭代与智慧医疗建设，覆盖县人民医院、县中医院、县妇幼保健院及基层医疗机构。具体包括县人民医院医疗设备购置项目、县第一医疗健康服务集团医疗设备购置项目、县中医院医疗设备购置及智慧医院建设项目、县中医院总医院（第二医疗健康服务集团）医疗设备更新项目、县妇幼保健院能力提升建设项目、基层医疗机构设备购置项目及县人民医院总医院练寺分院（练寺卫生院）医疗设备购置项目等7个设备配置项目。</w:t>
            </w:r>
          </w:p>
          <w:p w14:paraId="136E1389">
            <w:pPr>
              <w:keepNext w:val="0"/>
              <w:keepLines w:val="0"/>
              <w:pageBreakBefore w:val="0"/>
              <w:widowControl w:val="0"/>
              <w:suppressLineNumbers w:val="0"/>
              <w:kinsoku/>
              <w:wordWrap/>
              <w:overflowPunct/>
              <w:topLinePunct w:val="0"/>
              <w:autoSpaceDE/>
              <w:autoSpaceDN/>
              <w:bidi w:val="0"/>
              <w:adjustRightInd w:val="0"/>
              <w:snapToGrid w:val="0"/>
              <w:spacing w:beforeAutospacing="0" w:afterAutospacing="0" w:line="400" w:lineRule="exact"/>
              <w:ind w:left="0" w:right="0" w:firstLine="560" w:firstLineChars="200"/>
              <w:jc w:val="both"/>
              <w:textAlignment w:val="auto"/>
              <w:rPr>
                <w:rFonts w:hint="eastAsia"/>
                <w:lang w:val="en-US" w:eastAsia="zh-CN"/>
              </w:rPr>
            </w:pPr>
            <w:r>
              <w:rPr>
                <w:rFonts w:hint="eastAsia" w:ascii="Times New Roman" w:hAnsi="Times New Roman" w:eastAsia="仿宋_GB2312" w:cs="Times New Roman"/>
                <w:color w:val="auto"/>
                <w:kern w:val="2"/>
                <w:sz w:val="28"/>
                <w:szCs w:val="28"/>
                <w:highlight w:val="none"/>
                <w:u w:val="none"/>
                <w:lang w:val="en-US" w:eastAsia="zh-CN" w:bidi="ar-SA"/>
              </w:rPr>
              <w:t>医养结合建设项目。重点推进医养结合服务建设项目，全面完善医养结合服务设施。具体包括县人民医院医养结合中心（多期工程）、县中医院康养中心项目，以及5家基层卫生院的医养结合养护楼、综合楼、结合楼等10个建设项目。</w:t>
            </w:r>
          </w:p>
        </w:tc>
      </w:tr>
    </w:tbl>
    <w:p w14:paraId="18CB19E7">
      <w:pPr>
        <w:keepNext/>
        <w:keepLines/>
        <w:pageBreakBefore w:val="0"/>
        <w:widowControl w:val="0"/>
        <w:numPr>
          <w:ilvl w:val="0"/>
          <w:numId w:val="0"/>
        </w:numPr>
        <w:kinsoku/>
        <w:wordWrap/>
        <w:overflowPunct/>
        <w:topLinePunct w:val="0"/>
        <w:autoSpaceDE/>
        <w:autoSpaceDN/>
        <w:bidi w:val="0"/>
        <w:adjustRightInd w:val="0"/>
        <w:snapToGrid w:val="0"/>
        <w:spacing w:before="541" w:beforeLines="150" w:after="156" w:afterLines="50" w:line="560" w:lineRule="exact"/>
        <w:ind w:leftChars="0"/>
        <w:jc w:val="center"/>
        <w:textAlignment w:val="auto"/>
        <w:outlineLvl w:val="2"/>
        <w:rPr>
          <w:rFonts w:hint="eastAsia" w:ascii="Times New Roman" w:hAnsi="Times New Roman" w:eastAsia="黑体" w:cs="Times New Roman"/>
          <w:b/>
          <w:bCs/>
          <w:color w:val="auto"/>
          <w:kern w:val="2"/>
          <w:sz w:val="32"/>
          <w:szCs w:val="32"/>
          <w:highlight w:val="none"/>
          <w:u w:val="none"/>
          <w:lang w:val="en-US" w:eastAsia="zh-CN" w:bidi="ar-SA"/>
        </w:rPr>
      </w:pPr>
      <w:bookmarkStart w:id="250" w:name="_Toc17794"/>
      <w:bookmarkStart w:id="251" w:name="_Toc734"/>
      <w:bookmarkStart w:id="252" w:name="_Toc18487"/>
      <w:r>
        <w:rPr>
          <w:rFonts w:hint="eastAsia" w:ascii="Times New Roman" w:hAnsi="Times New Roman" w:eastAsia="黑体" w:cs="Times New Roman"/>
          <w:b/>
          <w:bCs/>
          <w:color w:val="auto"/>
          <w:kern w:val="2"/>
          <w:sz w:val="32"/>
          <w:szCs w:val="32"/>
          <w:highlight w:val="none"/>
          <w:u w:val="none"/>
          <w:lang w:val="en-US" w:eastAsia="zh-CN" w:bidi="ar-SA"/>
        </w:rPr>
        <w:t>第四节建设老幼友好社会</w:t>
      </w:r>
      <w:bookmarkEnd w:id="250"/>
      <w:bookmarkEnd w:id="251"/>
      <w:bookmarkEnd w:id="252"/>
    </w:p>
    <w:p w14:paraId="5139C46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Times New Roman" w:hAnsi="Times New Roman" w:eastAsia="仿宋_GB2312" w:cs="Times New Roman"/>
          <w:color w:val="auto"/>
          <w:kern w:val="2"/>
          <w:sz w:val="32"/>
          <w:szCs w:val="32"/>
          <w:highlight w:val="none"/>
          <w:u w:val="none"/>
          <w:lang w:val="en-US" w:eastAsia="zh-CN" w:bidi="ar"/>
        </w:rPr>
        <w:t>积极应对人口老龄化，优化生育政策，推动养老事业和托育产业协同发展，促进人口长期均衡发展，建设老幼友好社会。</w:t>
      </w:r>
    </w:p>
    <w:p w14:paraId="304E45E4">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楷体_GB2312" w:hAnsi="楷体_GB2312" w:eastAsia="楷体_GB2312" w:cs="楷体_GB2312"/>
          <w:b/>
          <w:bCs/>
          <w:color w:val="auto"/>
          <w:kern w:val="2"/>
          <w:sz w:val="32"/>
          <w:szCs w:val="32"/>
          <w:u w:val="none"/>
          <w:lang w:val="en-US" w:eastAsia="zh-CN" w:bidi="ar-SA"/>
        </w:rPr>
        <w:t>完善养老服务体系。</w:t>
      </w:r>
      <w:r>
        <w:rPr>
          <w:rFonts w:hint="eastAsia" w:ascii="仿宋_GB2312" w:hAnsi="仿宋_GB2312" w:eastAsia="仿宋_GB2312" w:cs="仿宋_GB2312"/>
          <w:b w:val="0"/>
          <w:bCs w:val="0"/>
          <w:color w:val="auto"/>
          <w:kern w:val="2"/>
          <w:sz w:val="32"/>
          <w:szCs w:val="32"/>
          <w:u w:val="none"/>
          <w:lang w:val="en-US" w:eastAsia="zh-CN" w:bidi="ar-SA"/>
        </w:rPr>
        <w:t>优化养老服务设施布局，在重点区域新建或改造一批社区养老服务站点，提升养老服务设施的覆盖率。加强养老服务人才队伍的初步建设，开展基础培训，提高服务人员数量和质量。推动13家乡镇敬老院全部转型为区域养老服务中心，以开展兜底养老服务为主。新建一所县级养老服务中心，</w:t>
      </w:r>
      <w:r>
        <w:rPr>
          <w:rFonts w:hint="eastAsia" w:ascii="Times New Roman" w:hAnsi="Times New Roman" w:eastAsia="仿宋_GB2312" w:cs="Times New Roman"/>
          <w:color w:val="auto"/>
          <w:kern w:val="2"/>
          <w:sz w:val="32"/>
          <w:szCs w:val="32"/>
          <w:highlight w:val="none"/>
          <w:u w:val="none"/>
          <w:lang w:val="en-US" w:eastAsia="zh-CN" w:bidi="ar"/>
        </w:rPr>
        <w:t>设置床位200张，</w:t>
      </w:r>
      <w:r>
        <w:rPr>
          <w:rFonts w:hint="eastAsia" w:ascii="仿宋_GB2312" w:hAnsi="仿宋_GB2312" w:eastAsia="仿宋_GB2312" w:cs="仿宋_GB2312"/>
          <w:b w:val="0"/>
          <w:bCs w:val="0"/>
          <w:color w:val="auto"/>
          <w:kern w:val="2"/>
          <w:sz w:val="32"/>
          <w:szCs w:val="32"/>
          <w:u w:val="none"/>
          <w:lang w:val="en-US" w:eastAsia="zh-CN" w:bidi="ar-SA"/>
        </w:rPr>
        <w:t>带动县域养老事业发展。提高养老服务的信息化水平，初步建立养老服务信息平台，建设老年健康大数据平台，整合医疗、养老、社保等数据，建立20万人规模的老年健康数据库。完善长期护理保险制度，建立统一的失能评估标准和护理服务包，参保人数达到3.5万人。到“十五五”末期，养老床位达到40‰，全面建成功能完善、规模适度、覆盖城乡、服务优质的养老服务体系，实现养老服务的高质量发展。</w:t>
      </w:r>
    </w:p>
    <w:p w14:paraId="2D248172">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楷体_GB2312" w:hAnsi="楷体_GB2312" w:eastAsia="楷体_GB2312" w:cs="楷体_GB2312"/>
          <w:b/>
          <w:bCs/>
          <w:color w:val="auto"/>
          <w:kern w:val="2"/>
          <w:sz w:val="32"/>
          <w:szCs w:val="32"/>
          <w:u w:val="none"/>
          <w:lang w:val="en-US" w:eastAsia="zh-CN" w:bidi="ar-SA"/>
        </w:rPr>
        <w:t>促进婴幼儿照护服务发展。</w:t>
      </w:r>
      <w:r>
        <w:rPr>
          <w:rFonts w:hint="eastAsia" w:ascii="Times New Roman" w:hAnsi="Times New Roman" w:eastAsia="仿宋_GB2312" w:cs="Times New Roman"/>
          <w:color w:val="auto"/>
          <w:kern w:val="2"/>
          <w:sz w:val="32"/>
          <w:szCs w:val="32"/>
          <w:highlight w:val="none"/>
          <w:u w:val="none"/>
          <w:lang w:val="en-US" w:eastAsia="zh-CN" w:bidi="ar"/>
        </w:rPr>
        <w:t>减轻家庭育儿负担，构建普惠托育服务体系。完善政策法规和标准规范，加强机构监管，开展星级评定，提高服务质量。支持家庭照护服务，开展育儿指导，提供科学育儿知识培训，减轻家庭育儿压力。</w:t>
      </w:r>
    </w:p>
    <w:p w14:paraId="32482FD2">
      <w:pPr>
        <w:keepNext w:val="0"/>
        <w:keepLines w:val="0"/>
        <w:pageBreakBefore w:val="0"/>
        <w:widowControl w:val="0"/>
        <w:kinsoku/>
        <w:wordWrap/>
        <w:overflowPunct/>
        <w:topLinePunct w:val="0"/>
        <w:autoSpaceDE/>
        <w:autoSpaceDN/>
        <w:bidi w:val="0"/>
        <w:adjustRightInd w:val="0"/>
        <w:snapToGrid w:val="0"/>
        <w:spacing w:after="721" w:afterLines="200" w:line="560" w:lineRule="exact"/>
        <w:ind w:firstLine="643"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楷体_GB2312" w:hAnsi="楷体_GB2312" w:eastAsia="楷体_GB2312" w:cs="楷体_GB2312"/>
          <w:b/>
          <w:bCs/>
          <w:color w:val="auto"/>
          <w:kern w:val="2"/>
          <w:sz w:val="32"/>
          <w:szCs w:val="32"/>
          <w:u w:val="none"/>
          <w:lang w:val="en-US" w:eastAsia="zh-CN" w:bidi="ar-SA"/>
        </w:rPr>
        <w:t>营造老幼友好环境。</w:t>
      </w:r>
      <w:r>
        <w:rPr>
          <w:rFonts w:hint="eastAsia" w:ascii="Times New Roman" w:hAnsi="Times New Roman" w:eastAsia="仿宋_GB2312" w:cs="Times New Roman"/>
          <w:color w:val="auto"/>
          <w:kern w:val="2"/>
          <w:sz w:val="32"/>
          <w:szCs w:val="32"/>
          <w:highlight w:val="none"/>
          <w:u w:val="none"/>
          <w:lang w:val="en-US" w:eastAsia="zh-CN" w:bidi="ar"/>
        </w:rPr>
        <w:t>加强社区适老适幼设施建设，建设老年人活动中心、儿童游乐场等设施，优化公共空间布局，设置无障碍通道、防滑地面等设施。加强关爱服务，开展“老年食堂”“儿童托管”等便民服务，组织老年人文化体育活动、儿童主题活动。加强权益保护，开展老年人防诈骗宣传、儿童安全教育等活动，建立权益保护热线，维护老幼合法权益。</w:t>
      </w:r>
    </w:p>
    <w:tbl>
      <w:tblPr>
        <w:tblStyle w:val="2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74"/>
      </w:tblGrid>
      <w:tr w14:paraId="381001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jc w:val="center"/>
        </w:trPr>
        <w:tc>
          <w:tcPr>
            <w:tcW w:w="8674" w:type="dxa"/>
            <w:noWrap w:val="0"/>
            <w:vAlign w:val="center"/>
          </w:tcPr>
          <w:p w14:paraId="65E830A4">
            <w:pPr>
              <w:keepNext w:val="0"/>
              <w:keepLines w:val="0"/>
              <w:pageBreakBefore w:val="0"/>
              <w:widowControl w:val="0"/>
              <w:suppressLineNumbers w:val="0"/>
              <w:kinsoku/>
              <w:wordWrap/>
              <w:overflowPunct/>
              <w:topLinePunct w:val="0"/>
              <w:autoSpaceDE/>
              <w:autoSpaceDN/>
              <w:bidi w:val="0"/>
              <w:adjustRightInd w:val="0"/>
              <w:snapToGrid w:val="0"/>
              <w:spacing w:beforeAutospacing="0" w:afterAutospacing="0" w:line="400" w:lineRule="exact"/>
              <w:ind w:left="0" w:right="0" w:firstLine="0" w:firstLineChars="0"/>
              <w:jc w:val="center"/>
              <w:textAlignment w:val="auto"/>
              <w:rPr>
                <w:rFonts w:hint="default" w:ascii="Times New Roman" w:hAnsi="Times New Roman" w:eastAsia="仿宋" w:cs="Times New Roman"/>
                <w:color w:val="auto"/>
                <w:sz w:val="28"/>
                <w:szCs w:val="28"/>
                <w:highlight w:val="none"/>
                <w:u w:val="none"/>
                <w:shd w:val="clear" w:color="auto" w:fill="FFFFFF"/>
              </w:rPr>
            </w:pPr>
            <w:r>
              <w:rPr>
                <w:rFonts w:hint="eastAsia" w:ascii="楷体_GB2312" w:hAnsi="楷体_GB2312" w:eastAsia="楷体_GB2312" w:cs="楷体_GB2312"/>
                <w:b/>
                <w:bCs w:val="0"/>
                <w:color w:val="auto"/>
                <w:sz w:val="28"/>
                <w:szCs w:val="28"/>
                <w:highlight w:val="none"/>
                <w:u w:val="none"/>
                <w:shd w:val="clear" w:color="auto" w:fill="FFFFFF"/>
                <w:lang w:val="en-US" w:eastAsia="zh-CN"/>
              </w:rPr>
              <w:t>专栏12-3：“十五五”期间养老托育服务重点项目</w:t>
            </w:r>
          </w:p>
        </w:tc>
      </w:tr>
      <w:tr w14:paraId="2F9737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jc w:val="center"/>
        </w:trPr>
        <w:tc>
          <w:tcPr>
            <w:tcW w:w="8674" w:type="dxa"/>
            <w:noWrap w:val="0"/>
            <w:vAlign w:val="center"/>
          </w:tcPr>
          <w:p w14:paraId="0440F784">
            <w:pPr>
              <w:keepNext w:val="0"/>
              <w:keepLines w:val="0"/>
              <w:pageBreakBefore w:val="0"/>
              <w:widowControl w:val="0"/>
              <w:suppressLineNumbers w:val="0"/>
              <w:kinsoku/>
              <w:wordWrap/>
              <w:overflowPunct/>
              <w:topLinePunct w:val="0"/>
              <w:autoSpaceDE/>
              <w:autoSpaceDN/>
              <w:bidi w:val="0"/>
              <w:adjustRightInd w:val="0"/>
              <w:snapToGrid w:val="0"/>
              <w:spacing w:beforeAutospacing="0" w:afterAutospacing="0" w:line="400" w:lineRule="exact"/>
              <w:ind w:left="0" w:right="0" w:firstLine="562" w:firstLineChars="200"/>
              <w:jc w:val="both"/>
              <w:textAlignment w:val="auto"/>
              <w:rPr>
                <w:rFonts w:hint="eastAsia"/>
                <w:lang w:val="en-US" w:eastAsia="zh-CN"/>
              </w:rPr>
            </w:pPr>
            <w:r>
              <w:rPr>
                <w:rFonts w:hint="eastAsia" w:ascii="Times New Roman" w:hAnsi="Times New Roman" w:eastAsia="仿宋_GB2312" w:cs="Times New Roman"/>
                <w:b/>
                <w:bCs/>
                <w:color w:val="auto"/>
                <w:kern w:val="2"/>
                <w:sz w:val="28"/>
                <w:szCs w:val="28"/>
                <w:highlight w:val="none"/>
                <w:u w:val="none"/>
                <w:lang w:val="en-US" w:eastAsia="zh-CN" w:bidi="ar-SA"/>
              </w:rPr>
              <w:t>重点实施</w:t>
            </w:r>
            <w:r>
              <w:rPr>
                <w:rFonts w:hint="eastAsia" w:ascii="Times New Roman" w:hAnsi="Times New Roman" w:eastAsia="仿宋_GB2312" w:cs="Times New Roman"/>
                <w:b w:val="0"/>
                <w:bCs w:val="0"/>
                <w:color w:val="auto"/>
                <w:kern w:val="2"/>
                <w:sz w:val="28"/>
                <w:szCs w:val="28"/>
                <w:highlight w:val="none"/>
                <w:u w:val="none"/>
                <w:lang w:val="en-US" w:eastAsia="zh-CN" w:bidi="ar-SA"/>
              </w:rPr>
              <w:t>扶沟县养老服务网络基础设施建设项目。</w:t>
            </w:r>
          </w:p>
        </w:tc>
      </w:tr>
    </w:tbl>
    <w:p w14:paraId="7B830E10">
      <w:pPr>
        <w:keepNext/>
        <w:keepLines/>
        <w:pageBreakBefore w:val="0"/>
        <w:widowControl w:val="0"/>
        <w:numPr>
          <w:ilvl w:val="0"/>
          <w:numId w:val="0"/>
        </w:numPr>
        <w:kinsoku/>
        <w:wordWrap/>
        <w:overflowPunct/>
        <w:topLinePunct w:val="0"/>
        <w:autoSpaceDE/>
        <w:autoSpaceDN/>
        <w:bidi w:val="0"/>
        <w:adjustRightInd w:val="0"/>
        <w:snapToGrid w:val="0"/>
        <w:spacing w:before="541" w:beforeLines="150" w:after="156" w:afterLines="50" w:line="560" w:lineRule="exact"/>
        <w:ind w:leftChars="0"/>
        <w:jc w:val="center"/>
        <w:textAlignment w:val="auto"/>
        <w:outlineLvl w:val="2"/>
        <w:rPr>
          <w:rFonts w:hint="eastAsia" w:ascii="Times New Roman" w:hAnsi="Times New Roman" w:eastAsia="黑体" w:cs="Times New Roman"/>
          <w:b/>
          <w:bCs/>
          <w:color w:val="auto"/>
          <w:kern w:val="2"/>
          <w:sz w:val="32"/>
          <w:szCs w:val="32"/>
          <w:highlight w:val="none"/>
          <w:u w:val="none"/>
          <w:lang w:val="en-US" w:eastAsia="zh-CN" w:bidi="ar-SA"/>
        </w:rPr>
      </w:pPr>
      <w:bookmarkStart w:id="253" w:name="_Toc2927"/>
      <w:bookmarkStart w:id="254" w:name="_Toc25410"/>
      <w:bookmarkStart w:id="255" w:name="_Toc31833"/>
      <w:r>
        <w:rPr>
          <w:rFonts w:hint="eastAsia" w:ascii="Times New Roman" w:hAnsi="Times New Roman" w:eastAsia="黑体" w:cs="Times New Roman"/>
          <w:b/>
          <w:bCs/>
          <w:color w:val="auto"/>
          <w:kern w:val="2"/>
          <w:sz w:val="32"/>
          <w:szCs w:val="32"/>
          <w:highlight w:val="none"/>
          <w:u w:val="none"/>
          <w:lang w:val="en-US" w:eastAsia="zh-CN" w:bidi="ar-SA"/>
        </w:rPr>
        <w:t>第五节构建多元社会保障</w:t>
      </w:r>
      <w:bookmarkEnd w:id="253"/>
      <w:bookmarkEnd w:id="254"/>
      <w:bookmarkEnd w:id="255"/>
    </w:p>
    <w:p w14:paraId="15F4C26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Times New Roman" w:hAnsi="Times New Roman" w:eastAsia="仿宋_GB2312" w:cs="Times New Roman"/>
          <w:color w:val="auto"/>
          <w:kern w:val="2"/>
          <w:sz w:val="32"/>
          <w:szCs w:val="32"/>
          <w:highlight w:val="none"/>
          <w:u w:val="none"/>
          <w:lang w:val="en-US" w:eastAsia="zh-CN" w:bidi="ar"/>
        </w:rPr>
        <w:t>健全覆盖全民、统筹城乡、公平统一、安全规范、可持续的多层次社会保障体系，稳步提高社会保障水平。</w:t>
      </w:r>
    </w:p>
    <w:p w14:paraId="1AC2CB1C">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楷体_GB2312" w:hAnsi="楷体_GB2312" w:eastAsia="楷体_GB2312" w:cs="楷体_GB2312"/>
          <w:b/>
          <w:bCs/>
          <w:color w:val="auto"/>
          <w:kern w:val="2"/>
          <w:sz w:val="32"/>
          <w:szCs w:val="32"/>
          <w:u w:val="none"/>
          <w:lang w:val="en-US" w:eastAsia="zh-CN" w:bidi="ar-SA"/>
        </w:rPr>
        <w:t>健全社会保险制度。</w:t>
      </w:r>
      <w:r>
        <w:rPr>
          <w:rFonts w:hint="eastAsia" w:ascii="Times New Roman" w:hAnsi="Times New Roman" w:eastAsia="仿宋_GB2312" w:cs="Times New Roman"/>
          <w:color w:val="auto"/>
          <w:kern w:val="2"/>
          <w:sz w:val="32"/>
          <w:szCs w:val="32"/>
          <w:highlight w:val="none"/>
          <w:u w:val="none"/>
          <w:lang w:val="en-US" w:eastAsia="zh-CN" w:bidi="ar"/>
        </w:rPr>
        <w:t>深入实施全民参保计划，持续扩大社会保险覆盖面，推动灵活就业人员、新业态从业人员等群体积极参保，确保城乡居民基本养老保险参保率稳定在95%以上；城乡居民基本养老保险待遇按时足额发放率保持在100%，持续推动城乡居民养老保险待遇水平提升，实现城乡居民养老保险月人均待遇水平不低于市城乡居民社会养老保险人均待遇水平。完善基本养老保险制度，稳步推进企业职工基本养老保险全国统筹，大力发展企业年金、职业年金、个人养老金等多层次养老保险体系，切实提高老年人养老保障水平。深入推进全民医保参保计划，重点推动灵活就业人员、新业态从业人员等群体参保，确保基本医疗保险参保率稳定在96%以上，实现应保尽保。健全基本医疗保险待遇保障机制，报销费用按时足额支付，合理提高住院费用报销比例和门诊特殊病种保障水平，稳步提升医保基金最高支付限额。健全医疗救助制度，加强与基本医保、大病保险的衔接，优化救助流程，减轻医疗负担。落实分类救助政策，对特困人员、低保对象、防止返贫监测对象等困难群体实施精准救助。全面推进医保支付改革，到“十五五”末期，DRG付费覆盖所有符合条件的开展住院服务的医疗机构，进一步促进医疗机构规范诊疗行为，提高医保基金使用效率。全面落实药品和医用耗材集中带量采购工作，加强对集中采购中选产品的质量监管和价格监测，降低医药费用成本，减轻群众就医负担。规范门诊共济保障机制，落实职工医保个人账户家庭共济政策。强化基金监管，通过智能监控、大数据、人工智能、区块链等技术及飞行检查、专项治理，实现基金使用全流程全环节100%覆盖监管，实时监控预警。严厉打击欺诈骗保行为。完善失业保险制度。加快建设积极稳健的失业保险制度。扩大失业保险保障范围，进一步畅通失业保险待遇申领渠道，推进失业保险关系转移接续。按照省厅文件精神实施失业保险稳岗返还政策，发挥失业保险预防失业、促进就业功能。多层次社会保障体系更加健全，法定人员实现应保尽保，工伤保险省级统筹更加完善。社会保障待遇水平稳步提高，社会保险基金安全可持续运行，社会保险经办服务更加便民利民，进一步完善多层次工伤保险制度。加强法规制度建设。增强社会保障规范性，配合修订《河南省工伤保险条例》。强化基金监管，建立风险预警和防控体系，规范基金投资运营，确保基金安全可持续并实现保值增值；优化经办服务，推进社保业务全流程线上办理和数据共享，提升服务效率与便捷性，不断增强群众在社保领域的获得感、安全感。</w:t>
      </w:r>
    </w:p>
    <w:p w14:paraId="2831A023">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楷体_GB2312" w:hAnsi="楷体_GB2312" w:eastAsia="楷体_GB2312" w:cs="楷体_GB2312"/>
          <w:b/>
          <w:bCs/>
          <w:color w:val="auto"/>
          <w:kern w:val="2"/>
          <w:sz w:val="32"/>
          <w:szCs w:val="32"/>
          <w:u w:val="none"/>
          <w:lang w:val="en-US" w:eastAsia="zh-CN" w:bidi="ar-SA"/>
        </w:rPr>
        <w:t>加强社会救助体系建设</w:t>
      </w:r>
      <w:r>
        <w:rPr>
          <w:rFonts w:hint="eastAsia" w:ascii="Times New Roman" w:hAnsi="Times New Roman" w:eastAsia="仿宋_GB2312" w:cs="Times New Roman"/>
          <w:color w:val="auto"/>
          <w:kern w:val="2"/>
          <w:sz w:val="32"/>
          <w:szCs w:val="32"/>
          <w:highlight w:val="none"/>
          <w:u w:val="none"/>
          <w:lang w:val="en-US" w:eastAsia="zh-CN" w:bidi="ar"/>
        </w:rPr>
        <w:t>。</w:t>
      </w:r>
      <w:r>
        <w:rPr>
          <w:rFonts w:hint="eastAsia" w:ascii="仿宋_GB2312" w:hAnsi="仿宋_GB2312" w:eastAsia="仿宋_GB2312" w:cs="仿宋_GB2312"/>
          <w:sz w:val="32"/>
          <w:szCs w:val="32"/>
          <w:u w:val="none"/>
          <w:lang w:eastAsia="zh-CN"/>
        </w:rPr>
        <w:t>健全分层分类的社会救助体系，完善最低生活保障、特困人员救助供养、临时救助、低保边缘家庭、刚性支出困难家庭等制度，实现社会救助全覆盖</w:t>
      </w:r>
      <w:r>
        <w:rPr>
          <w:rFonts w:hint="eastAsia" w:ascii="仿宋_GB2312" w:hAnsi="仿宋_GB2312" w:eastAsia="仿宋_GB2312" w:cs="仿宋_GB2312"/>
          <w:sz w:val="32"/>
          <w:szCs w:val="32"/>
        </w:rPr>
        <w:t>。加强社会救助信息化建设，用好“</w:t>
      </w:r>
      <w:r>
        <w:rPr>
          <w:rFonts w:hint="eastAsia" w:ascii="仿宋_GB2312" w:hAnsi="仿宋_GB2312" w:eastAsia="仿宋_GB2312" w:cs="仿宋_GB2312"/>
          <w:sz w:val="32"/>
          <w:szCs w:val="32"/>
          <w:lang w:eastAsia="zh-CN"/>
        </w:rPr>
        <w:t>河南</w:t>
      </w:r>
      <w:r>
        <w:rPr>
          <w:rFonts w:hint="eastAsia" w:ascii="仿宋_GB2312" w:hAnsi="仿宋_GB2312" w:eastAsia="仿宋_GB2312" w:cs="仿宋_GB2312"/>
          <w:sz w:val="32"/>
          <w:szCs w:val="32"/>
        </w:rPr>
        <w:t>救助通”小程序，进一步优化审核确认工作流程</w:t>
      </w:r>
      <w:r>
        <w:rPr>
          <w:rFonts w:hint="eastAsia" w:ascii="仿宋_GB2312" w:hAnsi="仿宋_GB2312" w:eastAsia="仿宋_GB2312" w:cs="仿宋_GB2312"/>
          <w:sz w:val="32"/>
          <w:szCs w:val="32"/>
          <w:lang w:eastAsia="zh-CN"/>
        </w:rPr>
        <w:t>，实现社会救助申请、审核、发放等流程线上办理，提高救助效率。</w:t>
      </w:r>
      <w:r>
        <w:rPr>
          <w:rFonts w:hint="eastAsia" w:ascii="仿宋_GB2312" w:hAnsi="仿宋_GB2312" w:eastAsia="仿宋_GB2312" w:cs="仿宋_GB2312"/>
          <w:sz w:val="32"/>
          <w:szCs w:val="32"/>
        </w:rPr>
        <w:t>通过政务公开栏、微信公众号等渠道普及救助政策。推进政府救助与慈善帮扶有效衔接，有针对性地为困难群众提供救助帮扶</w:t>
      </w:r>
      <w:r>
        <w:rPr>
          <w:rFonts w:hint="eastAsia" w:ascii="仿宋_GB2312" w:hAnsi="仿宋_GB2312" w:eastAsia="仿宋_GB2312" w:cs="仿宋_GB2312"/>
          <w:sz w:val="32"/>
          <w:szCs w:val="32"/>
          <w:lang w:eastAsia="zh-CN"/>
        </w:rPr>
        <w:t>，鼓励社会组织、慈善机构、志愿者等社会力量参与社会救助，开展慈善救助、志愿服务等活动，形成政府主导、社会参与的救助格局。稳步提高最低生活保障标准、财政补助水平及特困人员救助供养标准，</w:t>
      </w:r>
      <w:r>
        <w:rPr>
          <w:rFonts w:hint="eastAsia" w:ascii="仿宋_GB2312" w:hAnsi="仿宋_GB2312" w:eastAsia="仿宋_GB2312" w:cs="仿宋_GB2312"/>
          <w:sz w:val="32"/>
          <w:szCs w:val="32"/>
        </w:rPr>
        <w:t>推进社会救助扩围增效工作，规范低保准入条件，完善申请家庭经济状况评估认定，动态管理低收入人口数据库，及时核查监测预警信息，落实相应救助帮扶政策。加强与卫健、医保、教育等部门数据共享，精准识别救助对象，避免“漏保”“错保”。</w:t>
      </w:r>
      <w:r>
        <w:rPr>
          <w:rFonts w:hint="eastAsia" w:ascii="仿宋_GB2312" w:hAnsi="仿宋_GB2312" w:eastAsia="仿宋_GB2312" w:cs="仿宋_GB2312"/>
          <w:sz w:val="32"/>
          <w:szCs w:val="32"/>
          <w:lang w:eastAsia="zh-CN"/>
        </w:rPr>
        <w:t>到“十五五”末，全面建成覆盖全面、分层分类、精准高效、温暖有爱的社会救助体系，实现救助对象精准识别、救助内容合理分层、救助方式多元灵活、救助资源统筹整合，确保困难群众求助有门、受助及时，生活切实得到保障，获得感、幸福感、安全感显著增强。</w:t>
      </w:r>
    </w:p>
    <w:p w14:paraId="09905CDA">
      <w:pPr>
        <w:keepNext w:val="0"/>
        <w:keepLines w:val="0"/>
        <w:pageBreakBefore w:val="0"/>
        <w:widowControl w:val="0"/>
        <w:kinsoku/>
        <w:wordWrap/>
        <w:overflowPunct/>
        <w:topLinePunct w:val="0"/>
        <w:autoSpaceDE/>
        <w:autoSpaceDN/>
        <w:bidi w:val="0"/>
        <w:adjustRightInd w:val="0"/>
        <w:snapToGrid w:val="0"/>
        <w:spacing w:after="721" w:afterLines="200" w:line="560" w:lineRule="exact"/>
        <w:ind w:firstLine="643"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楷体_GB2312" w:hAnsi="楷体_GB2312" w:eastAsia="楷体_GB2312" w:cs="楷体_GB2312"/>
          <w:b/>
          <w:bCs/>
          <w:color w:val="auto"/>
          <w:kern w:val="2"/>
          <w:sz w:val="32"/>
          <w:szCs w:val="32"/>
          <w:u w:val="none"/>
          <w:lang w:val="en-US" w:eastAsia="zh-CN" w:bidi="ar-SA"/>
        </w:rPr>
        <w:t>发展慈善等社会公益事业</w:t>
      </w:r>
      <w:r>
        <w:rPr>
          <w:rFonts w:hint="eastAsia" w:ascii="Times New Roman" w:hAnsi="Times New Roman" w:eastAsia="仿宋_GB2312" w:cs="Times New Roman"/>
          <w:color w:val="auto"/>
          <w:kern w:val="2"/>
          <w:sz w:val="32"/>
          <w:szCs w:val="32"/>
          <w:highlight w:val="none"/>
          <w:u w:val="none"/>
          <w:lang w:val="en-US" w:eastAsia="zh-CN" w:bidi="ar"/>
        </w:rPr>
        <w:t>。</w:t>
      </w:r>
      <w:r>
        <w:rPr>
          <w:rFonts w:hint="eastAsia" w:ascii="仿宋_GB2312" w:hAnsi="仿宋_GB2312" w:eastAsia="仿宋_GB2312" w:cs="仿宋_GB2312"/>
          <w:sz w:val="32"/>
          <w:szCs w:val="32"/>
        </w:rPr>
        <w:t>弘扬慈善文化</w:t>
      </w:r>
      <w:r>
        <w:rPr>
          <w:rFonts w:hint="eastAsia" w:ascii="仿宋_GB2312" w:hAnsi="仿宋_GB2312" w:eastAsia="仿宋_GB2312" w:cs="仿宋_GB2312"/>
          <w:sz w:val="32"/>
          <w:szCs w:val="32"/>
          <w:lang w:eastAsia="zh-CN"/>
        </w:rPr>
        <w:t>，每年“</w:t>
      </w:r>
      <w:r>
        <w:rPr>
          <w:rFonts w:hint="eastAsia" w:ascii="仿宋_GB2312" w:hAnsi="仿宋_GB2312" w:eastAsia="仿宋_GB2312" w:cs="仿宋_GB2312"/>
          <w:sz w:val="32"/>
          <w:szCs w:val="32"/>
        </w:rPr>
        <w:t>中华慈善日</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来临之际，</w:t>
      </w:r>
      <w:r>
        <w:rPr>
          <w:rFonts w:hint="eastAsia" w:ascii="仿宋_GB2312" w:hAnsi="仿宋_GB2312" w:eastAsia="仿宋_GB2312" w:cs="仿宋_GB2312"/>
          <w:sz w:val="32"/>
          <w:szCs w:val="32"/>
          <w:lang w:val="en-US" w:eastAsia="zh-CN"/>
        </w:rPr>
        <w:t>通过县融媒体中心、乡村宣传栏、公益活动等载体，</w:t>
      </w:r>
      <w:r>
        <w:rPr>
          <w:rFonts w:hint="eastAsia" w:ascii="仿宋_GB2312" w:hAnsi="仿宋_GB2312" w:eastAsia="仿宋_GB2312" w:cs="仿宋_GB2312"/>
          <w:sz w:val="32"/>
          <w:szCs w:val="32"/>
        </w:rPr>
        <w:t>开展慈善文化</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进机关、进企业、进乡村、进社区、进家庭</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主</w:t>
      </w:r>
      <w:r>
        <w:rPr>
          <w:rFonts w:hint="eastAsia" w:ascii="仿宋_GB2312" w:hAnsi="仿宋_GB2312" w:eastAsia="仿宋_GB2312" w:cs="仿宋_GB2312"/>
          <w:sz w:val="32"/>
          <w:szCs w:val="32"/>
          <w:lang w:val="en-US" w:eastAsia="zh-CN"/>
        </w:rPr>
        <w:t>题</w:t>
      </w:r>
      <w:r>
        <w:rPr>
          <w:rFonts w:hint="eastAsia" w:ascii="仿宋_GB2312" w:hAnsi="仿宋_GB2312" w:eastAsia="仿宋_GB2312" w:cs="仿宋_GB2312"/>
          <w:sz w:val="32"/>
          <w:szCs w:val="32"/>
        </w:rPr>
        <w:t>宣传活动</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营造</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人人可慈善，处处有慈善</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的</w:t>
      </w:r>
      <w:r>
        <w:rPr>
          <w:rFonts w:hint="eastAsia" w:ascii="仿宋_GB2312" w:hAnsi="仿宋_GB2312" w:eastAsia="仿宋_GB2312" w:cs="仿宋_GB2312"/>
          <w:sz w:val="32"/>
          <w:szCs w:val="32"/>
          <w:lang w:val="en-US" w:eastAsia="zh-CN"/>
        </w:rPr>
        <w:t>社会</w:t>
      </w:r>
      <w:r>
        <w:rPr>
          <w:rFonts w:hint="eastAsia" w:ascii="仿宋_GB2312" w:hAnsi="仿宋_GB2312" w:eastAsia="仿宋_GB2312" w:cs="仿宋_GB2312"/>
          <w:sz w:val="32"/>
          <w:szCs w:val="32"/>
        </w:rPr>
        <w:t>氛围</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培育慈善组织，</w:t>
      </w:r>
      <w:r>
        <w:rPr>
          <w:rFonts w:hint="eastAsia" w:ascii="仿宋_GB2312" w:hAnsi="仿宋_GB2312" w:eastAsia="仿宋_GB2312" w:cs="仿宋_GB2312"/>
          <w:sz w:val="32"/>
          <w:szCs w:val="32"/>
          <w:lang w:val="en-US" w:eastAsia="zh-CN"/>
        </w:rPr>
        <w:t>重点孵化扶贫济困、扶老助孤、助残助医等服务型慈善组织，鼓励村（居）委会、社区设立慈善互助基金，盘活社区闲置资源；</w:t>
      </w:r>
      <w:r>
        <w:rPr>
          <w:rFonts w:hint="eastAsia" w:ascii="仿宋_GB2312" w:hAnsi="仿宋_GB2312" w:eastAsia="仿宋_GB2312" w:cs="仿宋_GB2312"/>
          <w:sz w:val="32"/>
          <w:szCs w:val="32"/>
        </w:rPr>
        <w:t>开展</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久久</w:t>
      </w:r>
      <w:r>
        <w:rPr>
          <w:rFonts w:hint="eastAsia" w:ascii="仿宋_GB2312" w:hAnsi="仿宋_GB2312" w:eastAsia="仿宋_GB2312" w:cs="仿宋_GB2312"/>
          <w:sz w:val="32"/>
          <w:szCs w:val="32"/>
        </w:rPr>
        <w:t>公益节</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等</w:t>
      </w:r>
      <w:r>
        <w:rPr>
          <w:rFonts w:hint="eastAsia" w:ascii="仿宋_GB2312" w:hAnsi="仿宋_GB2312" w:eastAsia="仿宋_GB2312" w:cs="仿宋_GB2312"/>
          <w:sz w:val="32"/>
          <w:szCs w:val="32"/>
          <w:lang w:val="en-US" w:eastAsia="zh-CN"/>
        </w:rPr>
        <w:t>便捷</w:t>
      </w:r>
      <w:r>
        <w:rPr>
          <w:rFonts w:hint="eastAsia" w:ascii="仿宋_GB2312" w:hAnsi="仿宋_GB2312" w:eastAsia="仿宋_GB2312" w:cs="仿宋_GB2312"/>
          <w:sz w:val="32"/>
          <w:szCs w:val="32"/>
        </w:rPr>
        <w:t>捐赠</w:t>
      </w:r>
      <w:r>
        <w:rPr>
          <w:rFonts w:hint="eastAsia" w:ascii="仿宋_GB2312" w:hAnsi="仿宋_GB2312" w:eastAsia="仿宋_GB2312" w:cs="仿宋_GB2312"/>
          <w:sz w:val="32"/>
          <w:szCs w:val="32"/>
          <w:lang w:eastAsia="zh-CN"/>
        </w:rPr>
        <w:t>活动</w:t>
      </w:r>
      <w:r>
        <w:rPr>
          <w:rFonts w:hint="eastAsia" w:ascii="仿宋_GB2312" w:hAnsi="仿宋_GB2312" w:eastAsia="仿宋_GB2312" w:cs="仿宋_GB2312"/>
          <w:sz w:val="32"/>
          <w:szCs w:val="32"/>
        </w:rPr>
        <w:t>，引导企业、社会组织和个人参与慈善事业</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鼓励和支持志愿服务</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健全志愿服务体系，开展志愿服务培训</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如应急救援、心理疏</w:t>
      </w:r>
      <w:r>
        <w:rPr>
          <w:rFonts w:hint="eastAsia" w:ascii="仿宋_GB2312" w:hAnsi="仿宋_GB2312" w:eastAsia="仿宋_GB2312" w:cs="仿宋_GB2312"/>
          <w:sz w:val="32"/>
          <w:szCs w:val="32"/>
          <w:lang w:val="en-US" w:eastAsia="zh-CN"/>
        </w:rPr>
        <w:t>导）</w:t>
      </w:r>
      <w:r>
        <w:rPr>
          <w:rFonts w:hint="eastAsia" w:ascii="仿宋_GB2312" w:hAnsi="仿宋_GB2312" w:eastAsia="仿宋_GB2312" w:cs="仿宋_GB2312"/>
          <w:sz w:val="32"/>
          <w:szCs w:val="32"/>
        </w:rPr>
        <w:t>，推动志愿服务常态化、专业化发展</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发展公益慈善项目</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聚焦</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一老一小</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残障困难、乡村振兴”等重点领域，</w:t>
      </w:r>
      <w:r>
        <w:rPr>
          <w:rFonts w:hint="eastAsia" w:ascii="仿宋_GB2312" w:hAnsi="仿宋_GB2312" w:eastAsia="仿宋_GB2312" w:cs="仿宋_GB2312"/>
          <w:sz w:val="32"/>
          <w:szCs w:val="32"/>
        </w:rPr>
        <w:t>精准对接需求，</w:t>
      </w:r>
      <w:r>
        <w:rPr>
          <w:rFonts w:hint="eastAsia" w:ascii="仿宋_GB2312" w:hAnsi="仿宋_GB2312" w:eastAsia="仿宋_GB2312" w:cs="仿宋_GB2312"/>
          <w:sz w:val="32"/>
          <w:szCs w:val="32"/>
          <w:lang w:val="en-US" w:eastAsia="zh-CN"/>
        </w:rPr>
        <w:t>开展“</w:t>
      </w:r>
      <w:r>
        <w:rPr>
          <w:rFonts w:hint="eastAsia" w:ascii="仿宋_GB2312" w:hAnsi="仿宋_GB2312" w:eastAsia="仿宋_GB2312" w:cs="仿宋_GB2312"/>
          <w:sz w:val="32"/>
          <w:szCs w:val="32"/>
        </w:rPr>
        <w:t>助学兴教</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助医救困</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助老扶幼</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助残济困</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等公益项目</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每年帮扶困难群众1万人次以上，营造互帮互助、文明和谐的社会氛围</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加强对慈善组织的监管</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规范慈善行为，推动慈善组织加强信息公开，</w:t>
      </w:r>
      <w:r>
        <w:rPr>
          <w:rFonts w:hint="eastAsia" w:ascii="仿宋_GB2312" w:hAnsi="仿宋_GB2312" w:eastAsia="仿宋_GB2312" w:cs="仿宋_GB2312"/>
          <w:sz w:val="32"/>
          <w:szCs w:val="32"/>
          <w:lang w:val="en-US" w:eastAsia="zh-CN"/>
        </w:rPr>
        <w:t>全面公示捐赠明细、项目执行情况、善款使用流向等信息，确保每笔善款都可追溯，</w:t>
      </w:r>
      <w:r>
        <w:rPr>
          <w:rFonts w:hint="eastAsia" w:ascii="仿宋_GB2312" w:hAnsi="仿宋_GB2312" w:eastAsia="仿宋_GB2312" w:cs="仿宋_GB2312"/>
          <w:sz w:val="32"/>
          <w:szCs w:val="32"/>
        </w:rPr>
        <w:t>提高慈善公信力</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确保慈善资金专款专用、公开透明</w:t>
      </w:r>
      <w:r>
        <w:rPr>
          <w:rFonts w:hint="eastAsia" w:ascii="仿宋_GB2312" w:hAnsi="仿宋_GB2312" w:eastAsia="仿宋_GB2312" w:cs="仿宋_GB2312"/>
          <w:sz w:val="32"/>
          <w:szCs w:val="32"/>
          <w:lang w:eastAsia="zh-CN"/>
        </w:rPr>
        <w:t>。</w:t>
      </w:r>
    </w:p>
    <w:tbl>
      <w:tblPr>
        <w:tblStyle w:val="2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74"/>
      </w:tblGrid>
      <w:tr w14:paraId="50B1BD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jc w:val="center"/>
        </w:trPr>
        <w:tc>
          <w:tcPr>
            <w:tcW w:w="8674" w:type="dxa"/>
            <w:noWrap w:val="0"/>
            <w:vAlign w:val="center"/>
          </w:tcPr>
          <w:p w14:paraId="2B9F4D04">
            <w:pPr>
              <w:keepNext w:val="0"/>
              <w:keepLines w:val="0"/>
              <w:pageBreakBefore w:val="0"/>
              <w:widowControl w:val="0"/>
              <w:suppressLineNumbers w:val="0"/>
              <w:kinsoku/>
              <w:wordWrap/>
              <w:overflowPunct/>
              <w:topLinePunct w:val="0"/>
              <w:autoSpaceDE/>
              <w:autoSpaceDN/>
              <w:bidi w:val="0"/>
              <w:adjustRightInd w:val="0"/>
              <w:snapToGrid w:val="0"/>
              <w:spacing w:beforeAutospacing="0" w:afterAutospacing="0" w:line="400" w:lineRule="exact"/>
              <w:ind w:left="0" w:right="0" w:firstLine="0" w:firstLineChars="0"/>
              <w:jc w:val="center"/>
              <w:textAlignment w:val="auto"/>
              <w:rPr>
                <w:rFonts w:hint="default" w:ascii="Times New Roman" w:hAnsi="Times New Roman" w:eastAsia="仿宋" w:cs="Times New Roman"/>
                <w:color w:val="auto"/>
                <w:sz w:val="28"/>
                <w:szCs w:val="28"/>
                <w:highlight w:val="none"/>
                <w:u w:val="none"/>
                <w:shd w:val="clear" w:color="auto" w:fill="FFFFFF"/>
              </w:rPr>
            </w:pPr>
            <w:r>
              <w:rPr>
                <w:rFonts w:hint="eastAsia" w:ascii="楷体_GB2312" w:hAnsi="楷体_GB2312" w:eastAsia="楷体_GB2312" w:cs="楷体_GB2312"/>
                <w:b/>
                <w:bCs w:val="0"/>
                <w:color w:val="auto"/>
                <w:sz w:val="28"/>
                <w:szCs w:val="28"/>
                <w:highlight w:val="none"/>
                <w:u w:val="none"/>
                <w:shd w:val="clear" w:color="auto" w:fill="FFFFFF"/>
                <w:lang w:val="en-US" w:eastAsia="zh-CN"/>
              </w:rPr>
              <w:t>专栏12-4：“十五五”期间社会保障重点项目</w:t>
            </w:r>
          </w:p>
        </w:tc>
      </w:tr>
      <w:tr w14:paraId="44EB27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jc w:val="center"/>
        </w:trPr>
        <w:tc>
          <w:tcPr>
            <w:tcW w:w="8674" w:type="dxa"/>
            <w:noWrap w:val="0"/>
            <w:vAlign w:val="center"/>
          </w:tcPr>
          <w:p w14:paraId="5B48DC6A">
            <w:pPr>
              <w:keepNext w:val="0"/>
              <w:keepLines w:val="0"/>
              <w:pageBreakBefore w:val="0"/>
              <w:widowControl w:val="0"/>
              <w:suppressLineNumbers w:val="0"/>
              <w:kinsoku/>
              <w:wordWrap/>
              <w:overflowPunct/>
              <w:topLinePunct w:val="0"/>
              <w:autoSpaceDE/>
              <w:autoSpaceDN/>
              <w:bidi w:val="0"/>
              <w:adjustRightInd w:val="0"/>
              <w:snapToGrid w:val="0"/>
              <w:spacing w:beforeAutospacing="0" w:afterAutospacing="0" w:line="400" w:lineRule="exact"/>
              <w:ind w:left="0" w:right="0" w:firstLine="562" w:firstLineChars="200"/>
              <w:jc w:val="both"/>
              <w:textAlignment w:val="auto"/>
              <w:rPr>
                <w:rFonts w:hint="default"/>
                <w:lang w:val="en-US" w:eastAsia="zh-CN"/>
              </w:rPr>
            </w:pPr>
            <w:r>
              <w:rPr>
                <w:rFonts w:hint="eastAsia" w:ascii="Times New Roman" w:hAnsi="Times New Roman" w:eastAsia="仿宋_GB2312" w:cs="Times New Roman"/>
                <w:b/>
                <w:bCs/>
                <w:color w:val="auto"/>
                <w:kern w:val="2"/>
                <w:sz w:val="28"/>
                <w:szCs w:val="28"/>
                <w:highlight w:val="none"/>
                <w:u w:val="none"/>
                <w:lang w:val="en-US" w:eastAsia="zh-CN" w:bidi="ar-SA"/>
              </w:rPr>
              <w:t>重点实施</w:t>
            </w:r>
            <w:r>
              <w:rPr>
                <w:rFonts w:hint="eastAsia" w:ascii="Times New Roman" w:hAnsi="Times New Roman" w:eastAsia="仿宋_GB2312" w:cs="Times New Roman"/>
                <w:color w:val="auto"/>
                <w:kern w:val="2"/>
                <w:sz w:val="28"/>
                <w:szCs w:val="28"/>
                <w:highlight w:val="none"/>
                <w:u w:val="none"/>
                <w:lang w:val="en-US" w:eastAsia="zh-CN" w:bidi="ar-SA"/>
              </w:rPr>
              <w:t>扶沟县返乡创业就业产业园区建设项目、扶沟县新型职业农民培训中心项目、大程职业学院建设项目、扶沟县第二中等职业学校建设项目、扶沟县职业技术学校、扶沟县第二实验学校建设项目、扶沟县康养综合体建设项目、扶沟县人民医院能力提升建设项目、扶沟县中心敬老院项目、扶沟县新区实验幼儿园、扶沟文庙修复及周边服务设施提升项目、吉鸿昌故居陈展布展提升及周边服务功能开发项目、扶沟韭园乡村振兴一二三产融合示范区项目</w:t>
            </w:r>
          </w:p>
        </w:tc>
      </w:tr>
    </w:tbl>
    <w:p w14:paraId="35463232">
      <w:pPr>
        <w:keepNext/>
        <w:keepLines/>
        <w:pageBreakBefore w:val="0"/>
        <w:widowControl w:val="0"/>
        <w:numPr>
          <w:ilvl w:val="0"/>
          <w:numId w:val="0"/>
        </w:numPr>
        <w:kinsoku/>
        <w:wordWrap/>
        <w:overflowPunct/>
        <w:topLinePunct w:val="0"/>
        <w:autoSpaceDE/>
        <w:autoSpaceDN/>
        <w:bidi w:val="0"/>
        <w:adjustRightInd w:val="0"/>
        <w:snapToGrid w:val="0"/>
        <w:spacing w:before="721" w:beforeLines="200" w:after="439" w:afterLines="100" w:line="560" w:lineRule="exact"/>
        <w:ind w:leftChars="0"/>
        <w:jc w:val="left"/>
        <w:textAlignment w:val="auto"/>
        <w:outlineLvl w:val="0"/>
        <w:rPr>
          <w:rFonts w:hint="eastAsia" w:ascii="Times New Roman" w:hAnsi="Times New Roman" w:eastAsia="方正小标宋_GBK" w:cs="Times New Roman"/>
          <w:b/>
          <w:color w:val="auto"/>
          <w:kern w:val="2"/>
          <w:sz w:val="36"/>
          <w:szCs w:val="36"/>
          <w:highlight w:val="none"/>
          <w:u w:val="none"/>
          <w:lang w:val="en-US" w:eastAsia="zh-CN" w:bidi="ar-SA"/>
        </w:rPr>
      </w:pPr>
      <w:bookmarkStart w:id="256" w:name="_Toc7839"/>
      <w:bookmarkStart w:id="257" w:name="_Toc26942"/>
      <w:bookmarkStart w:id="258" w:name="_Toc32253"/>
      <w:r>
        <w:rPr>
          <w:rFonts w:hint="eastAsia" w:ascii="Times New Roman" w:hAnsi="Times New Roman" w:eastAsia="方正小标宋_GBK" w:cs="Times New Roman"/>
          <w:b/>
          <w:color w:val="auto"/>
          <w:kern w:val="2"/>
          <w:sz w:val="36"/>
          <w:szCs w:val="36"/>
          <w:highlight w:val="none"/>
          <w:u w:val="none"/>
          <w:lang w:val="en-US" w:eastAsia="zh-CN" w:bidi="ar-SA"/>
        </w:rPr>
        <w:t>板块六：社会治理</w:t>
      </w:r>
      <w:bookmarkEnd w:id="256"/>
      <w:bookmarkEnd w:id="257"/>
    </w:p>
    <w:p w14:paraId="629DC5F8">
      <w:pPr>
        <w:keepNext/>
        <w:keepLines/>
        <w:pageBreakBefore w:val="0"/>
        <w:widowControl w:val="0"/>
        <w:numPr>
          <w:ilvl w:val="0"/>
          <w:numId w:val="0"/>
        </w:numPr>
        <w:kinsoku/>
        <w:wordWrap/>
        <w:overflowPunct/>
        <w:topLinePunct w:val="0"/>
        <w:autoSpaceDE/>
        <w:autoSpaceDN/>
        <w:bidi w:val="0"/>
        <w:adjustRightInd w:val="0"/>
        <w:snapToGrid w:val="0"/>
        <w:spacing w:before="541" w:beforeLines="150" w:after="439" w:afterLines="100" w:line="560" w:lineRule="exact"/>
        <w:ind w:leftChars="0"/>
        <w:jc w:val="center"/>
        <w:textAlignment w:val="auto"/>
        <w:outlineLvl w:val="1"/>
        <w:rPr>
          <w:rFonts w:hint="eastAsia" w:ascii="Times New Roman" w:hAnsi="Times New Roman" w:eastAsia="方正小标宋_GBK" w:cs="Times New Roman"/>
          <w:b/>
          <w:color w:val="auto"/>
          <w:kern w:val="2"/>
          <w:sz w:val="36"/>
          <w:szCs w:val="36"/>
          <w:highlight w:val="none"/>
          <w:u w:val="none"/>
          <w:lang w:val="en-US" w:eastAsia="zh-CN" w:bidi="ar-SA"/>
        </w:rPr>
      </w:pPr>
      <w:bookmarkStart w:id="259" w:name="_Toc19799"/>
      <w:bookmarkStart w:id="260" w:name="_Toc30688"/>
      <w:r>
        <w:rPr>
          <w:rFonts w:hint="eastAsia" w:ascii="Times New Roman" w:hAnsi="Times New Roman" w:eastAsia="方正小标宋_GBK" w:cs="Times New Roman"/>
          <w:b/>
          <w:color w:val="auto"/>
          <w:kern w:val="2"/>
          <w:sz w:val="36"/>
          <w:szCs w:val="36"/>
          <w:highlight w:val="none"/>
          <w:u w:val="none"/>
          <w:lang w:val="en-US" w:eastAsia="zh-CN" w:bidi="ar-SA"/>
        </w:rPr>
        <w:t>第十三章实施高效能治理，夯实高质量发展根基</w:t>
      </w:r>
      <w:bookmarkEnd w:id="258"/>
      <w:bookmarkEnd w:id="259"/>
      <w:bookmarkEnd w:id="260"/>
    </w:p>
    <w:p w14:paraId="2E6A126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Times New Roman" w:hAnsi="Times New Roman" w:eastAsia="仿宋_GB2312" w:cs="Times New Roman"/>
          <w:color w:val="auto"/>
          <w:kern w:val="2"/>
          <w:sz w:val="32"/>
          <w:szCs w:val="32"/>
          <w:highlight w:val="none"/>
          <w:u w:val="none"/>
          <w:lang w:val="en-US" w:eastAsia="zh-CN" w:bidi="ar"/>
        </w:rPr>
        <w:t>深入践行新时代“枫桥经验”，完善党委领导、政府负责、民主协商、社会协同、公众参与、法治保障、科技支撑的社会治理体系，提高社会治理社会化、法治化、智能化、专业化水平，推动高效能治理实现重大进展。</w:t>
      </w:r>
    </w:p>
    <w:p w14:paraId="5010E918">
      <w:pPr>
        <w:keepNext/>
        <w:keepLines/>
        <w:pageBreakBefore w:val="0"/>
        <w:widowControl w:val="0"/>
        <w:numPr>
          <w:ilvl w:val="0"/>
          <w:numId w:val="0"/>
        </w:numPr>
        <w:kinsoku/>
        <w:wordWrap/>
        <w:overflowPunct/>
        <w:topLinePunct w:val="0"/>
        <w:autoSpaceDE/>
        <w:autoSpaceDN/>
        <w:bidi w:val="0"/>
        <w:adjustRightInd w:val="0"/>
        <w:snapToGrid w:val="0"/>
        <w:spacing w:before="156" w:beforeLines="50" w:after="156" w:afterLines="50" w:line="560" w:lineRule="exact"/>
        <w:ind w:leftChars="0"/>
        <w:jc w:val="center"/>
        <w:textAlignment w:val="auto"/>
        <w:outlineLvl w:val="2"/>
        <w:rPr>
          <w:rFonts w:hint="eastAsia" w:ascii="Times New Roman" w:hAnsi="Times New Roman" w:eastAsia="黑体" w:cs="Times New Roman"/>
          <w:b/>
          <w:bCs/>
          <w:color w:val="auto"/>
          <w:kern w:val="2"/>
          <w:sz w:val="32"/>
          <w:szCs w:val="32"/>
          <w:highlight w:val="none"/>
          <w:u w:val="none"/>
          <w:lang w:val="en-US" w:eastAsia="zh-CN" w:bidi="ar-SA"/>
        </w:rPr>
      </w:pPr>
      <w:bookmarkStart w:id="261" w:name="_Toc14458"/>
      <w:bookmarkStart w:id="262" w:name="_Toc22271"/>
      <w:bookmarkStart w:id="263" w:name="_Toc31602"/>
      <w:r>
        <w:rPr>
          <w:rFonts w:hint="eastAsia" w:ascii="Times New Roman" w:hAnsi="Times New Roman" w:eastAsia="黑体" w:cs="Times New Roman"/>
          <w:b/>
          <w:bCs/>
          <w:color w:val="auto"/>
          <w:kern w:val="2"/>
          <w:sz w:val="32"/>
          <w:szCs w:val="32"/>
          <w:highlight w:val="none"/>
          <w:u w:val="none"/>
          <w:lang w:val="en-US" w:eastAsia="zh-CN" w:bidi="ar-SA"/>
        </w:rPr>
        <w:t>第一节深入推进依法行政</w:t>
      </w:r>
      <w:bookmarkEnd w:id="261"/>
      <w:bookmarkEnd w:id="262"/>
      <w:bookmarkEnd w:id="263"/>
    </w:p>
    <w:p w14:paraId="5FD9D42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Times New Roman" w:hAnsi="Times New Roman" w:eastAsia="仿宋_GB2312" w:cs="Times New Roman"/>
          <w:color w:val="auto"/>
          <w:kern w:val="2"/>
          <w:sz w:val="32"/>
          <w:szCs w:val="32"/>
          <w:highlight w:val="none"/>
          <w:u w:val="none"/>
          <w:lang w:val="en-US" w:eastAsia="zh-CN" w:bidi="ar"/>
        </w:rPr>
        <w:t>坚持依法履行政府职能，将政府工作全面纳入法治轨道，构建现代法治体系，做到行政活动有法可依。优化职责体系，厘清政府与市场、政府与社会边界，动态调整权责清单并向社会公开，推进政务服务标准化、规范化、便利化。健全行政决策程序，全面落实重大行政决策和行政规范性文件合法性审查机制，提升决策科学化、民主化、法治化水平。深化行政综合执法改革，规范执法行为，加大食品药品、公共卫生、安全生产等关系群众切身利益的重点领域执法力度。强化对行政权力的制约和监督，全面推行政务信息公开。提高行政执法能力，健全领导干部学法用法制度，建立常态化、系统化的行政执法人员培训考核机制，加强法治人才队伍建设。创新普法形式，将法治宣传教育融入执法、管理和服务全过程，提升全社会法治意识。</w:t>
      </w:r>
    </w:p>
    <w:p w14:paraId="73729361">
      <w:pPr>
        <w:keepNext/>
        <w:keepLines/>
        <w:pageBreakBefore w:val="0"/>
        <w:widowControl w:val="0"/>
        <w:numPr>
          <w:ilvl w:val="0"/>
          <w:numId w:val="0"/>
        </w:numPr>
        <w:kinsoku/>
        <w:wordWrap/>
        <w:overflowPunct/>
        <w:topLinePunct w:val="0"/>
        <w:autoSpaceDE/>
        <w:autoSpaceDN/>
        <w:bidi w:val="0"/>
        <w:adjustRightInd w:val="0"/>
        <w:snapToGrid w:val="0"/>
        <w:spacing w:before="156" w:beforeLines="50" w:after="156" w:afterLines="50" w:line="560" w:lineRule="exact"/>
        <w:ind w:leftChars="0"/>
        <w:jc w:val="center"/>
        <w:textAlignment w:val="auto"/>
        <w:outlineLvl w:val="2"/>
        <w:rPr>
          <w:rFonts w:hint="eastAsia" w:ascii="Times New Roman" w:hAnsi="Times New Roman" w:eastAsia="黑体" w:cs="Times New Roman"/>
          <w:b/>
          <w:bCs/>
          <w:color w:val="auto"/>
          <w:kern w:val="2"/>
          <w:sz w:val="32"/>
          <w:szCs w:val="32"/>
          <w:highlight w:val="none"/>
          <w:u w:val="none"/>
          <w:lang w:val="en-US" w:eastAsia="zh-CN" w:bidi="ar-SA"/>
        </w:rPr>
      </w:pPr>
      <w:bookmarkStart w:id="264" w:name="_Toc27725"/>
      <w:bookmarkStart w:id="265" w:name="_Toc11229"/>
      <w:bookmarkStart w:id="266" w:name="_Toc6377"/>
      <w:r>
        <w:rPr>
          <w:rFonts w:hint="eastAsia" w:ascii="Times New Roman" w:hAnsi="Times New Roman" w:eastAsia="黑体" w:cs="Times New Roman"/>
          <w:b/>
          <w:bCs/>
          <w:color w:val="auto"/>
          <w:kern w:val="2"/>
          <w:sz w:val="32"/>
          <w:szCs w:val="32"/>
          <w:highlight w:val="none"/>
          <w:u w:val="none"/>
          <w:lang w:val="en-US" w:eastAsia="zh-CN" w:bidi="ar-SA"/>
        </w:rPr>
        <w:t>第二节提升社会治理效能</w:t>
      </w:r>
      <w:bookmarkEnd w:id="264"/>
      <w:bookmarkEnd w:id="265"/>
      <w:bookmarkEnd w:id="266"/>
    </w:p>
    <w:p w14:paraId="11CB2CA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Times New Roman" w:hAnsi="Times New Roman" w:eastAsia="仿宋_GB2312" w:cs="Times New Roman"/>
          <w:color w:val="auto"/>
          <w:kern w:val="2"/>
          <w:sz w:val="32"/>
          <w:szCs w:val="32"/>
          <w:highlight w:val="none"/>
          <w:u w:val="none"/>
          <w:lang w:val="en-US" w:eastAsia="zh-CN" w:bidi="ar"/>
        </w:rPr>
        <w:t>营造公平正义的法治环境、便利高效的营商环境、诚实守信的信用环境、安定有序的社会环境、清朗健康的网络环境，显著提升行政效率和政府公信力，推进更高水平平安扶沟建设取得明显成效，大幅提升治理体系和治理能力现代化水平。加强社会治安防控体系建设，完善社会治安综合治理体制机制，常态化开展扫黑除恶斗争，依法打击各类违法犯罪活动，维护社会稳定。加强信访工作，完善信访制度，畅通和规范群众诉求表达、利益协调、权益保障通道，及时化解矛盾纠纷，维护群众合法权益。加强社会组织培育发展和监督管理，引导社会组织健康有序发展，发挥社会组织在社会治理中的积极作用。</w:t>
      </w:r>
    </w:p>
    <w:p w14:paraId="0134CD0F">
      <w:pPr>
        <w:keepNext/>
        <w:keepLines/>
        <w:pageBreakBefore w:val="0"/>
        <w:widowControl w:val="0"/>
        <w:numPr>
          <w:ilvl w:val="0"/>
          <w:numId w:val="0"/>
        </w:numPr>
        <w:kinsoku/>
        <w:wordWrap/>
        <w:overflowPunct/>
        <w:topLinePunct w:val="0"/>
        <w:autoSpaceDE/>
        <w:autoSpaceDN/>
        <w:bidi w:val="0"/>
        <w:adjustRightInd w:val="0"/>
        <w:snapToGrid w:val="0"/>
        <w:spacing w:before="156" w:beforeLines="50" w:after="156" w:afterLines="50" w:line="560" w:lineRule="exact"/>
        <w:ind w:leftChars="0"/>
        <w:jc w:val="center"/>
        <w:textAlignment w:val="auto"/>
        <w:outlineLvl w:val="2"/>
        <w:rPr>
          <w:rFonts w:hint="eastAsia" w:ascii="Times New Roman" w:hAnsi="Times New Roman" w:eastAsia="黑体" w:cs="Times New Roman"/>
          <w:b/>
          <w:bCs/>
          <w:color w:val="auto"/>
          <w:kern w:val="2"/>
          <w:sz w:val="32"/>
          <w:szCs w:val="32"/>
          <w:highlight w:val="none"/>
          <w:u w:val="none"/>
          <w:lang w:val="en-US" w:eastAsia="zh-CN" w:bidi="ar-SA"/>
        </w:rPr>
      </w:pPr>
      <w:bookmarkStart w:id="267" w:name="_Toc3980"/>
      <w:bookmarkStart w:id="268" w:name="_Toc27242"/>
      <w:bookmarkStart w:id="269" w:name="_Toc523"/>
      <w:r>
        <w:rPr>
          <w:rFonts w:hint="eastAsia" w:ascii="Times New Roman" w:hAnsi="Times New Roman" w:eastAsia="黑体" w:cs="Times New Roman"/>
          <w:b/>
          <w:bCs/>
          <w:color w:val="auto"/>
          <w:kern w:val="2"/>
          <w:sz w:val="32"/>
          <w:szCs w:val="32"/>
          <w:highlight w:val="none"/>
          <w:u w:val="none"/>
          <w:lang w:val="en-US" w:eastAsia="zh-CN" w:bidi="ar-SA"/>
        </w:rPr>
        <w:t>第三节全面抓好安全管理</w:t>
      </w:r>
      <w:bookmarkEnd w:id="267"/>
      <w:bookmarkEnd w:id="268"/>
      <w:bookmarkEnd w:id="269"/>
    </w:p>
    <w:p w14:paraId="7C1C13D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Times New Roman" w:hAnsi="Times New Roman" w:eastAsia="仿宋_GB2312" w:cs="Times New Roman"/>
          <w:color w:val="auto"/>
          <w:kern w:val="2"/>
          <w:sz w:val="32"/>
          <w:szCs w:val="32"/>
          <w:highlight w:val="none"/>
          <w:u w:val="none"/>
          <w:lang w:val="en-US" w:eastAsia="zh-CN" w:bidi="ar"/>
        </w:rPr>
        <w:t>深入推进安全生产治本攻坚三年行动，严格落实“三管三必须”，常态化抓好消防、城镇燃气、交通运输、建筑施工、危化品、住房建设等重点行业领域安全生产。完善和落实安全生产责任制，加强安全生产监管执法，强化安全风险防控和隐患排查治理，压实企业主体责任、隐患治理。完善应急管理体系，推动科技赋能监管，并贯穿安全宣传与培训。加强应急管理体系建设，完善应急预案，加强应急救援队伍建设，提高应急救援能力，提升防灾减灾救灾能力。推进应急储备仓库建设，储备应急物资、装备等，推进公共设施平急两用改造，提升应急物资动员能力。强化基层应急管理能力，推进乡、村两级管理体系建设。加强食品药品安全监管，完善食品药品安全监管体制机制，加强食品药品安全风险监测和评估，保障人民群众饮食用药安全。加强网络安全管理，完善网络安全管理制度，加强网络安全监测和预警，提高网络安全防护能力，维护网络安全和信息安全。</w:t>
      </w:r>
    </w:p>
    <w:p w14:paraId="6A74E5F1">
      <w:pPr>
        <w:keepNext/>
        <w:keepLines/>
        <w:pageBreakBefore w:val="0"/>
        <w:widowControl w:val="0"/>
        <w:numPr>
          <w:ilvl w:val="0"/>
          <w:numId w:val="0"/>
        </w:numPr>
        <w:kinsoku/>
        <w:wordWrap/>
        <w:overflowPunct/>
        <w:topLinePunct w:val="0"/>
        <w:autoSpaceDE/>
        <w:autoSpaceDN/>
        <w:bidi w:val="0"/>
        <w:adjustRightInd w:val="0"/>
        <w:snapToGrid w:val="0"/>
        <w:spacing w:before="156" w:beforeLines="50" w:after="156" w:afterLines="50" w:line="560" w:lineRule="exact"/>
        <w:ind w:leftChars="0"/>
        <w:jc w:val="center"/>
        <w:textAlignment w:val="auto"/>
        <w:outlineLvl w:val="2"/>
        <w:rPr>
          <w:rFonts w:hint="eastAsia" w:ascii="Times New Roman" w:hAnsi="Times New Roman" w:eastAsia="黑体" w:cs="Times New Roman"/>
          <w:b/>
          <w:bCs/>
          <w:color w:val="auto"/>
          <w:kern w:val="2"/>
          <w:sz w:val="32"/>
          <w:szCs w:val="32"/>
          <w:highlight w:val="none"/>
          <w:u w:val="none"/>
          <w:lang w:val="en-US" w:eastAsia="zh-CN" w:bidi="ar-SA"/>
        </w:rPr>
      </w:pPr>
      <w:bookmarkStart w:id="270" w:name="_Toc19691"/>
      <w:bookmarkStart w:id="271" w:name="_Toc30582"/>
      <w:bookmarkStart w:id="272" w:name="_Toc16046"/>
      <w:r>
        <w:rPr>
          <w:rFonts w:hint="eastAsia" w:ascii="Times New Roman" w:hAnsi="Times New Roman" w:eastAsia="黑体" w:cs="Times New Roman"/>
          <w:b/>
          <w:bCs/>
          <w:color w:val="auto"/>
          <w:kern w:val="2"/>
          <w:sz w:val="32"/>
          <w:szCs w:val="32"/>
          <w:highlight w:val="none"/>
          <w:u w:val="none"/>
          <w:lang w:val="en-US" w:eastAsia="zh-CN" w:bidi="ar-SA"/>
        </w:rPr>
        <w:t>第四节持续强化风险防范</w:t>
      </w:r>
      <w:bookmarkEnd w:id="270"/>
      <w:bookmarkEnd w:id="271"/>
      <w:bookmarkEnd w:id="272"/>
    </w:p>
    <w:p w14:paraId="514A5936">
      <w:pPr>
        <w:keepNext w:val="0"/>
        <w:keepLines w:val="0"/>
        <w:pageBreakBefore w:val="0"/>
        <w:widowControl w:val="0"/>
        <w:kinsoku/>
        <w:wordWrap/>
        <w:overflowPunct/>
        <w:topLinePunct w:val="0"/>
        <w:autoSpaceDE/>
        <w:autoSpaceDN/>
        <w:bidi w:val="0"/>
        <w:adjustRightInd w:val="0"/>
        <w:snapToGrid w:val="0"/>
        <w:spacing w:after="721" w:afterLines="200" w:line="560" w:lineRule="exact"/>
        <w:ind w:firstLine="640"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Times New Roman" w:hAnsi="Times New Roman" w:eastAsia="仿宋_GB2312" w:cs="Times New Roman"/>
          <w:color w:val="auto"/>
          <w:kern w:val="2"/>
          <w:sz w:val="32"/>
          <w:szCs w:val="32"/>
          <w:highlight w:val="none"/>
          <w:u w:val="none"/>
          <w:lang w:val="en-US" w:eastAsia="zh-CN" w:bidi="ar"/>
        </w:rPr>
        <w:t>增强忧患意识，树立底线思维，加强对各类风险的监测、预警和防范，提高应对风险的能力。加强社会治安防控体系建设，完善信息收集预警机制、社会矛盾常态化排查化解机制。加强经济运行风险监测和预警，及时发现和化解经济运行中的风险隐患，保持经济平稳健康发展。加强政府债务管理，优化政府债务结构，降低政府债务负担，防范政府债务风险。加强金融风险防控，完善金融监管体制机制，加强金融市场监管，防范金融风险。加强自然灾害风险防范，提高自然灾害监测预警能力，结合扶沟县农业、防汛、食品产业安全需求，建设X 波段雷达。实施气象监测站网工程，实现观测站网密度由8.84公里提高至5公里。加强自然灾害防御工程建设，提高自然灾害应对能力。</w:t>
      </w:r>
    </w:p>
    <w:tbl>
      <w:tblPr>
        <w:tblStyle w:val="2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74"/>
      </w:tblGrid>
      <w:tr w14:paraId="26BF80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jc w:val="center"/>
        </w:trPr>
        <w:tc>
          <w:tcPr>
            <w:tcW w:w="8674" w:type="dxa"/>
            <w:noWrap w:val="0"/>
            <w:vAlign w:val="center"/>
          </w:tcPr>
          <w:p w14:paraId="52416CBA">
            <w:pPr>
              <w:keepNext w:val="0"/>
              <w:keepLines w:val="0"/>
              <w:pageBreakBefore w:val="0"/>
              <w:widowControl w:val="0"/>
              <w:suppressLineNumbers w:val="0"/>
              <w:kinsoku/>
              <w:wordWrap/>
              <w:overflowPunct/>
              <w:topLinePunct w:val="0"/>
              <w:autoSpaceDE/>
              <w:autoSpaceDN/>
              <w:bidi w:val="0"/>
              <w:adjustRightInd w:val="0"/>
              <w:snapToGrid w:val="0"/>
              <w:spacing w:beforeAutospacing="0" w:afterAutospacing="0" w:line="400" w:lineRule="exact"/>
              <w:ind w:left="0" w:right="0" w:firstLine="0" w:firstLineChars="0"/>
              <w:jc w:val="center"/>
              <w:textAlignment w:val="auto"/>
              <w:rPr>
                <w:rFonts w:hint="default" w:ascii="Times New Roman" w:hAnsi="Times New Roman" w:eastAsia="仿宋" w:cs="Times New Roman"/>
                <w:color w:val="auto"/>
                <w:sz w:val="28"/>
                <w:szCs w:val="28"/>
                <w:highlight w:val="none"/>
                <w:u w:val="none"/>
                <w:shd w:val="clear" w:color="auto" w:fill="FFFFFF"/>
              </w:rPr>
            </w:pPr>
            <w:r>
              <w:rPr>
                <w:rFonts w:hint="eastAsia" w:ascii="楷体_GB2312" w:hAnsi="楷体_GB2312" w:eastAsia="楷体_GB2312" w:cs="楷体_GB2312"/>
                <w:b/>
                <w:bCs w:val="0"/>
                <w:color w:val="auto"/>
                <w:sz w:val="28"/>
                <w:szCs w:val="28"/>
                <w:highlight w:val="none"/>
                <w:u w:val="none"/>
                <w:shd w:val="clear" w:color="auto" w:fill="FFFFFF"/>
                <w:lang w:val="en-US" w:eastAsia="zh-CN"/>
              </w:rPr>
              <w:t>专栏13-1：“十五五”期间社会治理重点项目</w:t>
            </w:r>
          </w:p>
        </w:tc>
      </w:tr>
      <w:tr w14:paraId="05C99D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jc w:val="center"/>
        </w:trPr>
        <w:tc>
          <w:tcPr>
            <w:tcW w:w="8674" w:type="dxa"/>
            <w:noWrap w:val="0"/>
            <w:vAlign w:val="center"/>
          </w:tcPr>
          <w:p w14:paraId="5D1F49A3">
            <w:pPr>
              <w:keepNext w:val="0"/>
              <w:keepLines w:val="0"/>
              <w:pageBreakBefore w:val="0"/>
              <w:widowControl w:val="0"/>
              <w:suppressLineNumbers w:val="0"/>
              <w:kinsoku/>
              <w:wordWrap/>
              <w:overflowPunct/>
              <w:topLinePunct w:val="0"/>
              <w:autoSpaceDE/>
              <w:autoSpaceDN/>
              <w:bidi w:val="0"/>
              <w:adjustRightInd w:val="0"/>
              <w:snapToGrid w:val="0"/>
              <w:spacing w:beforeAutospacing="0" w:afterAutospacing="0" w:line="400" w:lineRule="exact"/>
              <w:ind w:left="0" w:right="0" w:firstLine="562" w:firstLineChars="200"/>
              <w:jc w:val="both"/>
              <w:textAlignment w:val="auto"/>
              <w:rPr>
                <w:rFonts w:hint="eastAsia"/>
                <w:lang w:val="en-US" w:eastAsia="zh-CN"/>
              </w:rPr>
            </w:pPr>
            <w:r>
              <w:rPr>
                <w:rFonts w:hint="eastAsia" w:ascii="Times New Roman" w:hAnsi="Times New Roman" w:eastAsia="仿宋_GB2312" w:cs="Times New Roman"/>
                <w:b/>
                <w:bCs/>
                <w:color w:val="auto"/>
                <w:kern w:val="2"/>
                <w:sz w:val="28"/>
                <w:szCs w:val="28"/>
                <w:highlight w:val="none"/>
                <w:u w:val="none"/>
                <w:lang w:val="en-US" w:eastAsia="zh-CN" w:bidi="ar-SA"/>
              </w:rPr>
              <w:t>重点实施</w:t>
            </w:r>
            <w:r>
              <w:rPr>
                <w:rFonts w:hint="eastAsia" w:ascii="Times New Roman" w:hAnsi="Times New Roman" w:eastAsia="仿宋_GB2312" w:cs="Times New Roman"/>
                <w:color w:val="auto"/>
                <w:kern w:val="2"/>
                <w:sz w:val="28"/>
                <w:szCs w:val="28"/>
                <w:highlight w:val="none"/>
                <w:u w:val="none"/>
                <w:lang w:val="en-US" w:eastAsia="zh-CN" w:bidi="ar-SA"/>
              </w:rPr>
              <w:t>扶沟县智慧城管信息一体化项目、扶沟县数字化算力中心建设项目、扶沟县公安局智能监控、电子警察、人像识别系统建设项目、扶沟县5G+智慧城市建设项目。</w:t>
            </w:r>
          </w:p>
        </w:tc>
      </w:tr>
    </w:tbl>
    <w:p w14:paraId="2AF1F668">
      <w:pPr>
        <w:pStyle w:val="2"/>
        <w:bidi w:val="0"/>
        <w:jc w:val="center"/>
        <w:rPr>
          <w:rFonts w:hint="eastAsia" w:ascii="Times New Roman" w:hAnsi="Times New Roman" w:eastAsia="方正小标宋_GBK" w:cs="Times New Roman"/>
          <w:b/>
          <w:color w:val="auto"/>
          <w:kern w:val="2"/>
          <w:sz w:val="36"/>
          <w:szCs w:val="36"/>
          <w:highlight w:val="none"/>
          <w:u w:val="none"/>
          <w:lang w:val="en-US" w:eastAsia="zh-CN" w:bidi="ar-SA"/>
        </w:rPr>
      </w:pPr>
      <w:bookmarkStart w:id="273" w:name="_Toc28073"/>
      <w:bookmarkStart w:id="274" w:name="_Toc3549"/>
      <w:bookmarkStart w:id="275" w:name="_Toc25534"/>
      <w:bookmarkStart w:id="276" w:name="_Toc6832"/>
      <w:r>
        <w:rPr>
          <w:rFonts w:hint="eastAsia" w:ascii="Times New Roman" w:hAnsi="Times New Roman" w:eastAsia="方正小标宋_GBK" w:cs="Times New Roman"/>
          <w:b/>
          <w:color w:val="auto"/>
          <w:kern w:val="2"/>
          <w:sz w:val="44"/>
          <w:szCs w:val="44"/>
          <w:highlight w:val="none"/>
        </w:rPr>
        <w:t>第</w:t>
      </w:r>
      <w:r>
        <w:rPr>
          <w:rFonts w:hint="eastAsia" w:ascii="Times New Roman" w:hAnsi="Times New Roman" w:eastAsia="方正小标宋_GBK" w:cs="Times New Roman"/>
          <w:b/>
          <w:color w:val="auto"/>
          <w:kern w:val="2"/>
          <w:sz w:val="44"/>
          <w:szCs w:val="44"/>
          <w:highlight w:val="none"/>
          <w:lang w:val="en-US" w:eastAsia="zh-CN"/>
        </w:rPr>
        <w:t>四</w:t>
      </w:r>
      <w:r>
        <w:rPr>
          <w:rFonts w:hint="eastAsia" w:ascii="Times New Roman" w:hAnsi="Times New Roman" w:eastAsia="方正小标宋_GBK" w:cs="Times New Roman"/>
          <w:b/>
          <w:color w:val="auto"/>
          <w:kern w:val="2"/>
          <w:sz w:val="44"/>
          <w:szCs w:val="44"/>
          <w:highlight w:val="none"/>
        </w:rPr>
        <w:t>篇：强化“硬支撑”——协同发力促落实</w:t>
      </w:r>
      <w:bookmarkEnd w:id="273"/>
      <w:bookmarkEnd w:id="274"/>
      <w:bookmarkEnd w:id="275"/>
      <w:bookmarkEnd w:id="276"/>
    </w:p>
    <w:p w14:paraId="1CC426E2">
      <w:pPr>
        <w:keepNext/>
        <w:keepLines/>
        <w:pageBreakBefore w:val="0"/>
        <w:widowControl w:val="0"/>
        <w:numPr>
          <w:ilvl w:val="0"/>
          <w:numId w:val="0"/>
        </w:numPr>
        <w:kinsoku/>
        <w:wordWrap/>
        <w:overflowPunct/>
        <w:topLinePunct w:val="0"/>
        <w:autoSpaceDE/>
        <w:autoSpaceDN/>
        <w:bidi w:val="0"/>
        <w:adjustRightInd w:val="0"/>
        <w:snapToGrid w:val="0"/>
        <w:spacing w:before="541" w:beforeLines="150" w:after="439" w:afterLines="100" w:line="560" w:lineRule="exact"/>
        <w:ind w:leftChars="0"/>
        <w:jc w:val="center"/>
        <w:textAlignment w:val="auto"/>
        <w:outlineLvl w:val="1"/>
        <w:rPr>
          <w:rFonts w:hint="eastAsia" w:ascii="Times New Roman" w:hAnsi="Times New Roman" w:eastAsia="方正小标宋_GBK" w:cs="Times New Roman"/>
          <w:b/>
          <w:color w:val="auto"/>
          <w:kern w:val="2"/>
          <w:sz w:val="36"/>
          <w:szCs w:val="36"/>
          <w:highlight w:val="none"/>
          <w:u w:val="none"/>
          <w:lang w:val="en-US" w:eastAsia="zh-CN" w:bidi="ar-SA"/>
        </w:rPr>
      </w:pPr>
      <w:bookmarkStart w:id="277" w:name="_Toc2770"/>
      <w:bookmarkStart w:id="278" w:name="_Toc8863"/>
      <w:bookmarkStart w:id="279" w:name="_Toc22259"/>
      <w:r>
        <w:rPr>
          <w:rFonts w:hint="eastAsia" w:ascii="Times New Roman" w:hAnsi="Times New Roman" w:eastAsia="方正小标宋_GBK" w:cs="Times New Roman"/>
          <w:b/>
          <w:color w:val="auto"/>
          <w:kern w:val="2"/>
          <w:sz w:val="36"/>
          <w:szCs w:val="36"/>
          <w:highlight w:val="none"/>
          <w:u w:val="none"/>
          <w:lang w:val="en-US" w:eastAsia="zh-CN" w:bidi="ar-SA"/>
        </w:rPr>
        <w:t>第十四章强化保障支撑，奋力实现规划蓝图</w:t>
      </w:r>
      <w:bookmarkEnd w:id="277"/>
      <w:bookmarkEnd w:id="278"/>
      <w:bookmarkEnd w:id="279"/>
    </w:p>
    <w:p w14:paraId="35FA745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Times New Roman" w:hAnsi="Times New Roman" w:eastAsia="仿宋_GB2312" w:cs="Times New Roman"/>
          <w:color w:val="auto"/>
          <w:kern w:val="2"/>
          <w:sz w:val="32"/>
          <w:szCs w:val="32"/>
          <w:highlight w:val="none"/>
          <w:u w:val="none"/>
          <w:lang w:val="en-US" w:eastAsia="zh-CN" w:bidi="ar"/>
        </w:rPr>
        <w:t>实现“十五五”规划和二〇三五年远景目标，必须坚持党的全面领导，凝心聚力引领发展，完善规划实施监督机制，凝聚全社会力量共同推进规划实施。</w:t>
      </w:r>
    </w:p>
    <w:p w14:paraId="0CC282DF">
      <w:pPr>
        <w:keepNext/>
        <w:keepLines/>
        <w:pageBreakBefore w:val="0"/>
        <w:widowControl w:val="0"/>
        <w:numPr>
          <w:ilvl w:val="0"/>
          <w:numId w:val="0"/>
        </w:numPr>
        <w:kinsoku/>
        <w:wordWrap/>
        <w:overflowPunct/>
        <w:topLinePunct w:val="0"/>
        <w:autoSpaceDE/>
        <w:autoSpaceDN/>
        <w:bidi w:val="0"/>
        <w:adjustRightInd w:val="0"/>
        <w:snapToGrid w:val="0"/>
        <w:spacing w:before="156" w:beforeLines="50" w:after="156" w:afterLines="50" w:line="560" w:lineRule="exact"/>
        <w:ind w:leftChars="0"/>
        <w:jc w:val="center"/>
        <w:textAlignment w:val="auto"/>
        <w:outlineLvl w:val="2"/>
        <w:rPr>
          <w:rFonts w:hint="eastAsia" w:ascii="Times New Roman" w:hAnsi="Times New Roman" w:eastAsia="黑体" w:cs="Times New Roman"/>
          <w:b/>
          <w:bCs/>
          <w:color w:val="auto"/>
          <w:kern w:val="2"/>
          <w:sz w:val="32"/>
          <w:szCs w:val="32"/>
          <w:highlight w:val="none"/>
          <w:u w:val="none"/>
          <w:lang w:val="en-US" w:eastAsia="zh-CN" w:bidi="ar-SA"/>
        </w:rPr>
      </w:pPr>
      <w:bookmarkStart w:id="280" w:name="_Toc22367"/>
      <w:bookmarkStart w:id="281" w:name="_Toc479"/>
      <w:bookmarkStart w:id="282" w:name="_Toc18432"/>
      <w:r>
        <w:rPr>
          <w:rFonts w:hint="eastAsia" w:ascii="Times New Roman" w:hAnsi="Times New Roman" w:eastAsia="黑体" w:cs="Times New Roman"/>
          <w:b/>
          <w:bCs/>
          <w:color w:val="auto"/>
          <w:kern w:val="2"/>
          <w:sz w:val="32"/>
          <w:szCs w:val="32"/>
          <w:highlight w:val="none"/>
          <w:u w:val="none"/>
          <w:lang w:val="en-US" w:eastAsia="zh-CN" w:bidi="ar-SA"/>
        </w:rPr>
        <w:t>第一节坚持和加强党的全面领导</w:t>
      </w:r>
      <w:bookmarkEnd w:id="280"/>
      <w:bookmarkEnd w:id="281"/>
      <w:bookmarkEnd w:id="282"/>
    </w:p>
    <w:p w14:paraId="413EE20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Times New Roman" w:hAnsi="Times New Roman" w:eastAsia="仿宋_GB2312" w:cs="Times New Roman"/>
          <w:color w:val="auto"/>
          <w:kern w:val="2"/>
          <w:sz w:val="32"/>
          <w:szCs w:val="32"/>
          <w:highlight w:val="none"/>
          <w:u w:val="none"/>
          <w:lang w:val="en-US" w:eastAsia="zh-CN" w:bidi="ar"/>
        </w:rPr>
        <w:t>发挥各级党委在规划实施中的领导核心作用，明确责任主体，抓好工作落实，为实施“十五五”规划提供坚强保证。坚持党对经济工作的领导，贯彻党把方向、谋大局、定政策、促改革的要求，增强服务意识，完善上下贯通、执行有力的组织体系。落实全面从严治党主体责任、监督责任，把监督贯穿于党领导经济社会发展全过程，构建全覆盖的制度执行监督机制，营造风清气正的良好政治生态。持续解放思想，善于用改革的办法解决经济社会发展中的突出问题，以开拓创新精神走好高质量发展新路。进一步巩固和发展最广泛的爱国统一战线，充分发挥民主党派、工商联和无党派人士作用，最大程度凝聚全社会共识和力量，全力推进规划实施。</w:t>
      </w:r>
    </w:p>
    <w:p w14:paraId="68D82A60">
      <w:pPr>
        <w:keepNext/>
        <w:keepLines/>
        <w:pageBreakBefore w:val="0"/>
        <w:widowControl w:val="0"/>
        <w:numPr>
          <w:ilvl w:val="0"/>
          <w:numId w:val="0"/>
        </w:numPr>
        <w:kinsoku/>
        <w:wordWrap/>
        <w:overflowPunct/>
        <w:topLinePunct w:val="0"/>
        <w:autoSpaceDE/>
        <w:autoSpaceDN/>
        <w:bidi w:val="0"/>
        <w:adjustRightInd w:val="0"/>
        <w:snapToGrid w:val="0"/>
        <w:spacing w:before="156" w:beforeLines="50" w:after="156" w:afterLines="50" w:line="560" w:lineRule="exact"/>
        <w:ind w:leftChars="0"/>
        <w:jc w:val="center"/>
        <w:textAlignment w:val="auto"/>
        <w:outlineLvl w:val="2"/>
        <w:rPr>
          <w:rFonts w:hint="eastAsia" w:ascii="Times New Roman" w:hAnsi="Times New Roman" w:eastAsia="黑体" w:cs="Times New Roman"/>
          <w:b/>
          <w:bCs/>
          <w:color w:val="auto"/>
          <w:kern w:val="2"/>
          <w:sz w:val="32"/>
          <w:szCs w:val="32"/>
          <w:highlight w:val="none"/>
          <w:u w:val="none"/>
          <w:lang w:val="en-US" w:eastAsia="zh-CN" w:bidi="ar-SA"/>
        </w:rPr>
      </w:pPr>
      <w:bookmarkStart w:id="283" w:name="_Toc24336"/>
      <w:bookmarkStart w:id="284" w:name="_Toc31834"/>
      <w:bookmarkStart w:id="285" w:name="_Toc24102"/>
      <w:r>
        <w:rPr>
          <w:rFonts w:hint="eastAsia" w:ascii="Times New Roman" w:hAnsi="Times New Roman" w:eastAsia="黑体" w:cs="Times New Roman"/>
          <w:b/>
          <w:bCs/>
          <w:color w:val="auto"/>
          <w:kern w:val="2"/>
          <w:sz w:val="32"/>
          <w:szCs w:val="32"/>
          <w:highlight w:val="none"/>
          <w:u w:val="none"/>
          <w:lang w:val="en-US" w:eastAsia="zh-CN" w:bidi="ar-SA"/>
        </w:rPr>
        <w:t>第二节完善规划落实机制</w:t>
      </w:r>
      <w:bookmarkEnd w:id="283"/>
      <w:bookmarkEnd w:id="284"/>
      <w:bookmarkEnd w:id="285"/>
    </w:p>
    <w:p w14:paraId="475FE6A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Times New Roman" w:hAnsi="Times New Roman" w:eastAsia="仿宋_GB2312" w:cs="Times New Roman"/>
          <w:color w:val="auto"/>
          <w:kern w:val="2"/>
          <w:sz w:val="32"/>
          <w:szCs w:val="32"/>
          <w:highlight w:val="none"/>
          <w:u w:val="none"/>
          <w:lang w:val="en-US" w:eastAsia="zh-CN" w:bidi="ar"/>
        </w:rPr>
        <w:t>加强规划实施的组织领导，切实提高规划实施效果。县政府组织实施《纲要》，分解《纲要》确定的发展目标、主要任务，明确牵头单位和工作责任，强化绩效考核。围绕《纲要》提出的目标任务，明确政府职责和工作重点，加强政策引导、项目支撑和资金统筹，确保规划落地。《纲要》提出的预期性指标和产业发展、结构调整等任务，主要通过完善市场机制和利益导向机制、激发市场主体的积极性和创造性来实现。《纲要》提出的约束性指标和公共服务领域的任务，是政府对人民群众的承诺，是政府自身的职责，必须明确工作责任、实施进度和具体措施，确保顺利完成。每年的国民经济和社会发展计划、财政预算计划要按照《纲要》确定的目标任务，明确年度目标、工作指标和推进措施。加强经济社会发展的统筹协调，注重短期政策与长期政策的衔接配合。密切关注宏观政策和发展环境的变化，结合实际，不断调整优化重大政策措施，促进规划落实。</w:t>
      </w:r>
    </w:p>
    <w:p w14:paraId="21470FAE">
      <w:pPr>
        <w:keepNext/>
        <w:keepLines/>
        <w:pageBreakBefore w:val="0"/>
        <w:widowControl w:val="0"/>
        <w:numPr>
          <w:ilvl w:val="0"/>
          <w:numId w:val="0"/>
        </w:numPr>
        <w:kinsoku/>
        <w:wordWrap/>
        <w:overflowPunct/>
        <w:topLinePunct w:val="0"/>
        <w:autoSpaceDE/>
        <w:autoSpaceDN/>
        <w:bidi w:val="0"/>
        <w:adjustRightInd w:val="0"/>
        <w:snapToGrid w:val="0"/>
        <w:spacing w:before="156" w:beforeLines="50" w:after="156" w:afterLines="50" w:line="560" w:lineRule="exact"/>
        <w:ind w:leftChars="0"/>
        <w:jc w:val="center"/>
        <w:textAlignment w:val="auto"/>
        <w:outlineLvl w:val="2"/>
        <w:rPr>
          <w:rFonts w:hint="eastAsia" w:ascii="Times New Roman" w:hAnsi="Times New Roman" w:eastAsia="黑体" w:cs="Times New Roman"/>
          <w:b/>
          <w:bCs/>
          <w:color w:val="auto"/>
          <w:kern w:val="2"/>
          <w:sz w:val="32"/>
          <w:szCs w:val="32"/>
          <w:highlight w:val="none"/>
          <w:u w:val="none"/>
          <w:lang w:val="en-US" w:eastAsia="zh-CN" w:bidi="ar-SA"/>
        </w:rPr>
      </w:pPr>
      <w:bookmarkStart w:id="286" w:name="_Toc13217"/>
      <w:bookmarkStart w:id="287" w:name="_Toc17278"/>
      <w:bookmarkStart w:id="288" w:name="_Toc32176"/>
      <w:r>
        <w:rPr>
          <w:rFonts w:hint="eastAsia" w:ascii="Times New Roman" w:hAnsi="Times New Roman" w:eastAsia="黑体" w:cs="Times New Roman"/>
          <w:b/>
          <w:bCs/>
          <w:color w:val="auto"/>
          <w:kern w:val="2"/>
          <w:sz w:val="32"/>
          <w:szCs w:val="32"/>
          <w:highlight w:val="none"/>
          <w:u w:val="none"/>
          <w:lang w:val="en-US" w:eastAsia="zh-CN" w:bidi="ar-SA"/>
        </w:rPr>
        <w:t>第三节强化发展要素保障</w:t>
      </w:r>
      <w:bookmarkEnd w:id="286"/>
      <w:bookmarkEnd w:id="287"/>
      <w:bookmarkEnd w:id="288"/>
    </w:p>
    <w:p w14:paraId="18270A9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Times New Roman" w:hAnsi="Times New Roman" w:eastAsia="仿宋_GB2312" w:cs="Times New Roman"/>
          <w:color w:val="auto"/>
          <w:kern w:val="2"/>
          <w:sz w:val="32"/>
          <w:szCs w:val="32"/>
          <w:highlight w:val="none"/>
          <w:u w:val="none"/>
          <w:lang w:val="en-US" w:eastAsia="zh-CN" w:bidi="ar"/>
        </w:rPr>
        <w:t>强化财政要求保障，做好财政预算与规划实施的衔接协调，建立健全“项目跟着规划走，要素跟着项目走”的机制，坚持“先有预算、后有支出，量力而行、量入为出”为原则，在优先“三保”的基础上，集中财力保证政府投资重大项目的资金需求，优先安排涉及民生、公共服务等领域的财政支出和项目投入。坚持以规划确定项目、以项目落实规划，围绕产业发展、城市更新、科技创新、文旅融合、民生改善等重点工作，加大政策支持力度，优先落实资金、人才、土地等要素指标。对纳入本规划和年度计划的重点项目，落实绿色通道制度，简化审批核准程序，优先保障规划选址、土地供应和融资安排，确保如期完成。制定与规划相匹配的要素投入、能源消耗、污染排放等保障方案，依法依规做好各类资源要素供给保障。</w:t>
      </w:r>
    </w:p>
    <w:p w14:paraId="2ED1DDC5">
      <w:pPr>
        <w:keepNext/>
        <w:keepLines/>
        <w:pageBreakBefore w:val="0"/>
        <w:widowControl w:val="0"/>
        <w:numPr>
          <w:ilvl w:val="0"/>
          <w:numId w:val="0"/>
        </w:numPr>
        <w:kinsoku/>
        <w:wordWrap/>
        <w:overflowPunct/>
        <w:topLinePunct w:val="0"/>
        <w:autoSpaceDE/>
        <w:autoSpaceDN/>
        <w:bidi w:val="0"/>
        <w:adjustRightInd w:val="0"/>
        <w:snapToGrid w:val="0"/>
        <w:spacing w:before="156" w:beforeLines="50" w:after="156" w:afterLines="50" w:line="560" w:lineRule="exact"/>
        <w:ind w:leftChars="0"/>
        <w:jc w:val="center"/>
        <w:textAlignment w:val="auto"/>
        <w:outlineLvl w:val="2"/>
        <w:rPr>
          <w:rFonts w:hint="eastAsia" w:ascii="Times New Roman" w:hAnsi="Times New Roman" w:eastAsia="黑体" w:cs="Times New Roman"/>
          <w:b/>
          <w:bCs/>
          <w:color w:val="auto"/>
          <w:kern w:val="2"/>
          <w:sz w:val="32"/>
          <w:szCs w:val="32"/>
          <w:highlight w:val="none"/>
          <w:u w:val="none"/>
          <w:lang w:val="en-US" w:eastAsia="zh-CN" w:bidi="ar-SA"/>
        </w:rPr>
      </w:pPr>
      <w:bookmarkStart w:id="289" w:name="_Toc4458"/>
      <w:bookmarkStart w:id="290" w:name="_Toc6129"/>
      <w:bookmarkStart w:id="291" w:name="_Toc23206"/>
      <w:r>
        <w:rPr>
          <w:rFonts w:hint="eastAsia" w:ascii="Times New Roman" w:hAnsi="Times New Roman" w:eastAsia="黑体" w:cs="Times New Roman"/>
          <w:b/>
          <w:bCs/>
          <w:color w:val="auto"/>
          <w:kern w:val="2"/>
          <w:sz w:val="32"/>
          <w:szCs w:val="32"/>
          <w:highlight w:val="none"/>
          <w:u w:val="none"/>
          <w:lang w:val="en-US" w:eastAsia="zh-CN" w:bidi="ar-SA"/>
        </w:rPr>
        <w:t>第四节突出重点项目带动</w:t>
      </w:r>
      <w:bookmarkEnd w:id="289"/>
      <w:bookmarkEnd w:id="290"/>
      <w:bookmarkEnd w:id="291"/>
    </w:p>
    <w:p w14:paraId="491FAE7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Times New Roman" w:hAnsi="Times New Roman" w:eastAsia="仿宋_GB2312" w:cs="Times New Roman"/>
          <w:color w:val="auto"/>
          <w:kern w:val="2"/>
          <w:sz w:val="32"/>
          <w:szCs w:val="32"/>
          <w:highlight w:val="none"/>
          <w:u w:val="none"/>
          <w:lang w:val="en-US" w:eastAsia="zh-CN" w:bidi="ar"/>
        </w:rPr>
        <w:t>围绕“十五五”期间扶沟县的工作重点，紧密对接国家“两重两新”等支持方向，谋划实施一批投资规模大、科技含量高的重大项目、重大工程，形成储备一批、建设一批、投产一批的良性循环。完善重大项目责任推进机制，强化项目管理。完善重大项目评估制度，对重大签约项目，明确责任领导、责任单位、责任人，制定项目推进计划，明确进度要求，全程跟踪服务，加快项目落地开工建设。实行重大项目督查通报制度，以项目建设为抓手，调动全县上下积极性，强化项目招商引资，落实项目服务保障，强力推动全县重大项目落地建设。</w:t>
      </w:r>
    </w:p>
    <w:p w14:paraId="4CEBA8E6">
      <w:pPr>
        <w:keepNext/>
        <w:keepLines/>
        <w:pageBreakBefore w:val="0"/>
        <w:widowControl w:val="0"/>
        <w:numPr>
          <w:ilvl w:val="0"/>
          <w:numId w:val="0"/>
        </w:numPr>
        <w:kinsoku/>
        <w:wordWrap/>
        <w:overflowPunct/>
        <w:topLinePunct w:val="0"/>
        <w:autoSpaceDE/>
        <w:autoSpaceDN/>
        <w:bidi w:val="0"/>
        <w:adjustRightInd w:val="0"/>
        <w:snapToGrid w:val="0"/>
        <w:spacing w:before="156" w:beforeLines="50" w:after="156" w:afterLines="50" w:line="560" w:lineRule="exact"/>
        <w:ind w:leftChars="0"/>
        <w:jc w:val="center"/>
        <w:textAlignment w:val="auto"/>
        <w:outlineLvl w:val="2"/>
        <w:rPr>
          <w:rFonts w:hint="eastAsia" w:ascii="Times New Roman" w:hAnsi="Times New Roman" w:eastAsia="黑体" w:cs="Times New Roman"/>
          <w:b/>
          <w:bCs/>
          <w:color w:val="auto"/>
          <w:kern w:val="2"/>
          <w:sz w:val="32"/>
          <w:szCs w:val="32"/>
          <w:highlight w:val="none"/>
          <w:u w:val="none"/>
          <w:lang w:val="en-US" w:eastAsia="zh-CN" w:bidi="ar-SA"/>
        </w:rPr>
      </w:pPr>
      <w:bookmarkStart w:id="292" w:name="_Toc1358"/>
      <w:bookmarkStart w:id="293" w:name="_Toc18164"/>
      <w:r>
        <w:rPr>
          <w:rFonts w:hint="default" w:ascii="Times New Roman" w:hAnsi="Times New Roman" w:eastAsia="黑体" w:cs="Times New Roman"/>
          <w:b/>
          <w:bCs/>
          <w:color w:val="auto"/>
          <w:kern w:val="2"/>
          <w:sz w:val="32"/>
          <w:szCs w:val="32"/>
          <w:highlight w:val="none"/>
          <w:u w:val="none"/>
          <w:lang w:val="en-US" w:eastAsia="zh-CN" w:bidi="ar-SA"/>
        </w:rPr>
        <w:t>第</w:t>
      </w:r>
      <w:r>
        <w:rPr>
          <w:rFonts w:hint="eastAsia" w:ascii="Times New Roman" w:hAnsi="Times New Roman" w:eastAsia="黑体" w:cs="Times New Roman"/>
          <w:b/>
          <w:bCs/>
          <w:color w:val="auto"/>
          <w:kern w:val="2"/>
          <w:sz w:val="32"/>
          <w:szCs w:val="32"/>
          <w:highlight w:val="none"/>
          <w:u w:val="none"/>
          <w:lang w:val="en-US" w:eastAsia="zh-CN" w:bidi="ar-SA"/>
        </w:rPr>
        <w:t>五</w:t>
      </w:r>
      <w:r>
        <w:rPr>
          <w:rFonts w:hint="default" w:ascii="Times New Roman" w:hAnsi="Times New Roman" w:eastAsia="黑体" w:cs="Times New Roman"/>
          <w:b/>
          <w:bCs/>
          <w:color w:val="auto"/>
          <w:kern w:val="2"/>
          <w:sz w:val="32"/>
          <w:szCs w:val="32"/>
          <w:highlight w:val="none"/>
          <w:u w:val="none"/>
          <w:lang w:val="en-US" w:eastAsia="zh-CN" w:bidi="ar-SA"/>
        </w:rPr>
        <w:t>节</w:t>
      </w:r>
      <w:r>
        <w:rPr>
          <w:rFonts w:hint="eastAsia" w:ascii="Times New Roman" w:hAnsi="Times New Roman" w:eastAsia="黑体" w:cs="Times New Roman"/>
          <w:b/>
          <w:bCs/>
          <w:color w:val="auto"/>
          <w:kern w:val="2"/>
          <w:sz w:val="32"/>
          <w:szCs w:val="32"/>
          <w:highlight w:val="none"/>
          <w:u w:val="none"/>
          <w:lang w:val="en-US" w:eastAsia="zh-CN" w:bidi="ar-SA"/>
        </w:rPr>
        <w:t>汇聚社会力量共建共享</w:t>
      </w:r>
      <w:bookmarkEnd w:id="292"/>
      <w:bookmarkEnd w:id="293"/>
    </w:p>
    <w:p w14:paraId="5E2AEA2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Times New Roman" w:hAnsi="Times New Roman" w:eastAsia="仿宋_GB2312" w:cs="Times New Roman"/>
          <w:color w:val="auto"/>
          <w:kern w:val="2"/>
          <w:sz w:val="32"/>
          <w:szCs w:val="32"/>
          <w:highlight w:val="none"/>
          <w:u w:val="none"/>
          <w:lang w:val="en-US" w:eastAsia="zh-CN" w:bidi="ar"/>
        </w:rPr>
        <w:t>坚持“发展为了人民、发展依靠人民、发展成果由人民共享”，加强发展规划宣传解读，以清晰愿景凝聚共识、汇聚民智、凝聚民力，厚植全民共建的责任意识，广泛动员各界群众主动投身实践，在依靠人民中汲取力量，在服务人民中践行使命，汇聚起推动发展的强大动力。践行新时代群众路线，站稳群众立场、回应群众关切，解决群众难题。充分尊重人民首创精神，激活社会各界与市场主体的创新活力，鼓励基层大胆探索实践，及时总结推广鲜活经验，全力营造同心同向、实干争先的良好发展氛围。把群众期盼放在心上，把实干担当扛在肩上，奋力开创高质量建设现代化美好扶沟新局面。</w:t>
      </w:r>
    </w:p>
    <w:p w14:paraId="2810D4E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p>
    <w:p w14:paraId="7C839855">
      <w:pPr>
        <w:pStyle w:val="27"/>
        <w:rPr>
          <w:rFonts w:hint="eastAsia" w:ascii="Times New Roman" w:hAnsi="Times New Roman" w:eastAsia="仿宋_GB2312" w:cs="Times New Roman"/>
          <w:color w:val="auto"/>
          <w:kern w:val="2"/>
          <w:sz w:val="32"/>
          <w:szCs w:val="32"/>
          <w:highlight w:val="none"/>
          <w:u w:val="none"/>
          <w:lang w:val="en-US" w:eastAsia="zh-CN" w:bidi="ar"/>
        </w:rPr>
      </w:pPr>
    </w:p>
    <w:p w14:paraId="72F2545B">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Times New Roman" w:hAnsi="Times New Roman" w:eastAsia="仿宋_GB2312" w:cs="Times New Roman"/>
          <w:color w:val="auto"/>
          <w:kern w:val="2"/>
          <w:sz w:val="32"/>
          <w:szCs w:val="32"/>
          <w:highlight w:val="none"/>
          <w:u w:val="none"/>
          <w:lang w:val="en-US" w:eastAsia="zh-CN" w:bidi="ar"/>
        </w:rPr>
      </w:pPr>
    </w:p>
    <w:p w14:paraId="69469884">
      <w:pPr>
        <w:keepNext w:val="0"/>
        <w:keepLines w:val="0"/>
        <w:pageBreakBefore w:val="0"/>
        <w:widowControl w:val="0"/>
        <w:kinsoku/>
        <w:wordWrap/>
        <w:overflowPunct/>
        <w:topLinePunct w:val="0"/>
        <w:autoSpaceDE/>
        <w:autoSpaceDN/>
        <w:bidi w:val="0"/>
        <w:adjustRightInd w:val="0"/>
        <w:snapToGrid w:val="0"/>
        <w:spacing w:after="541" w:afterLines="150" w:line="560" w:lineRule="exact"/>
        <w:jc w:val="center"/>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方正小标宋_GBK" w:hAnsi="方正小标宋_GBK" w:eastAsia="方正小标宋_GBK" w:cs="方正小标宋_GBK"/>
          <w:color w:val="auto"/>
          <w:spacing w:val="0"/>
          <w:kern w:val="0"/>
          <w:sz w:val="44"/>
          <w:szCs w:val="48"/>
          <w:highlight w:val="none"/>
          <w:u w:val="none"/>
          <w:lang w:val="en-US" w:eastAsia="zh-CN"/>
        </w:rPr>
        <w:t>名词解释</w:t>
      </w:r>
    </w:p>
    <w:p w14:paraId="1A24FA09">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default" w:ascii="Times New Roman" w:hAnsi="Times New Roman" w:eastAsia="仿宋_GB2312" w:cs="Times New Roman"/>
          <w:color w:val="auto"/>
          <w:kern w:val="2"/>
          <w:sz w:val="32"/>
          <w:szCs w:val="32"/>
          <w:highlight w:val="none"/>
          <w:u w:val="none"/>
          <w:lang w:val="en-US" w:eastAsia="zh-CN" w:bidi="ar"/>
        </w:rPr>
      </w:pPr>
      <w:r>
        <w:rPr>
          <w:rFonts w:hint="default" w:ascii="Times New Roman" w:hAnsi="Times New Roman" w:eastAsia="仿宋_GB2312" w:cs="Times New Roman"/>
          <w:b/>
          <w:bCs/>
          <w:color w:val="auto"/>
          <w:kern w:val="2"/>
          <w:sz w:val="32"/>
          <w:szCs w:val="32"/>
          <w:highlight w:val="none"/>
          <w:u w:val="none"/>
          <w:lang w:val="en-US" w:eastAsia="zh-CN" w:bidi="ar"/>
        </w:rPr>
        <w:t>“1+2+4+N”任务目标体系</w:t>
      </w:r>
      <w:r>
        <w:rPr>
          <w:rFonts w:hint="eastAsia" w:ascii="Times New Roman" w:hAnsi="Times New Roman" w:eastAsia="仿宋_GB2312" w:cs="Times New Roman"/>
          <w:b/>
          <w:bCs/>
          <w:color w:val="auto"/>
          <w:kern w:val="2"/>
          <w:sz w:val="32"/>
          <w:szCs w:val="32"/>
          <w:highlight w:val="none"/>
          <w:u w:val="none"/>
          <w:lang w:val="en-US" w:eastAsia="zh-CN" w:bidi="ar"/>
        </w:rPr>
        <w:t>：</w:t>
      </w:r>
      <w:r>
        <w:rPr>
          <w:rFonts w:hint="eastAsia" w:ascii="Times New Roman" w:hAnsi="Times New Roman" w:eastAsia="仿宋_GB2312" w:cs="Times New Roman"/>
          <w:color w:val="auto"/>
          <w:kern w:val="2"/>
          <w:sz w:val="32"/>
          <w:szCs w:val="32"/>
          <w:highlight w:val="none"/>
          <w:u w:val="none"/>
          <w:lang w:val="en-US" w:eastAsia="zh-CN" w:bidi="ar"/>
        </w:rPr>
        <w:t>1是一个奋斗目标，即奋力谱写中原大地推进中国式现代化新篇章；2是“两高”总体任务，即推动高质量发展、推动高效能治理；4是“四着力”重大要求，建设现代产业体系和农业强省、改善民生和加强社会治理、加强生态环境保护、推动文化繁荣兴盛；N是落实“1+2+4”的一系列工作要求，随着实践不断拓展深化、动态调整。</w:t>
      </w:r>
    </w:p>
    <w:p w14:paraId="69038F12">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default" w:ascii="Times New Roman" w:hAnsi="Times New Roman" w:eastAsia="仿宋_GB2312" w:cs="Times New Roman"/>
          <w:color w:val="auto"/>
          <w:kern w:val="2"/>
          <w:sz w:val="32"/>
          <w:szCs w:val="32"/>
          <w:highlight w:val="none"/>
          <w:u w:val="none"/>
          <w:lang w:val="en-US" w:eastAsia="zh-CN" w:bidi="ar"/>
        </w:rPr>
      </w:pPr>
      <w:r>
        <w:rPr>
          <w:rFonts w:hint="default" w:ascii="Times New Roman" w:hAnsi="Times New Roman" w:eastAsia="仿宋_GB2312" w:cs="Times New Roman"/>
          <w:b/>
          <w:bCs/>
          <w:color w:val="auto"/>
          <w:kern w:val="2"/>
          <w:sz w:val="32"/>
          <w:szCs w:val="32"/>
          <w:highlight w:val="none"/>
          <w:u w:val="none"/>
          <w:lang w:val="en-US" w:eastAsia="zh-CN" w:bidi="ar"/>
        </w:rPr>
        <w:t>六稳</w:t>
      </w:r>
      <w:r>
        <w:rPr>
          <w:rFonts w:hint="eastAsia" w:ascii="Times New Roman" w:hAnsi="Times New Roman" w:eastAsia="仿宋_GB2312" w:cs="Times New Roman"/>
          <w:b/>
          <w:bCs/>
          <w:color w:val="auto"/>
          <w:kern w:val="2"/>
          <w:sz w:val="32"/>
          <w:szCs w:val="32"/>
          <w:highlight w:val="none"/>
          <w:u w:val="none"/>
          <w:lang w:val="en-US" w:eastAsia="zh-CN" w:bidi="ar"/>
        </w:rPr>
        <w:t>：</w:t>
      </w:r>
      <w:r>
        <w:rPr>
          <w:rFonts w:hint="eastAsia" w:ascii="Times New Roman" w:hAnsi="Times New Roman" w:eastAsia="仿宋_GB2312" w:cs="Times New Roman"/>
          <w:color w:val="auto"/>
          <w:kern w:val="2"/>
          <w:sz w:val="32"/>
          <w:szCs w:val="32"/>
          <w:highlight w:val="none"/>
          <w:u w:val="none"/>
          <w:lang w:val="en-US" w:eastAsia="zh-CN" w:bidi="ar"/>
        </w:rPr>
        <w:t>稳就业、稳金融、稳外贸、稳外资、稳投资、稳预期。</w:t>
      </w:r>
    </w:p>
    <w:p w14:paraId="701ECA25">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default" w:ascii="Times New Roman" w:hAnsi="Times New Roman" w:eastAsia="仿宋_GB2312" w:cs="Times New Roman"/>
          <w:b/>
          <w:bCs/>
          <w:color w:val="auto"/>
          <w:kern w:val="2"/>
          <w:sz w:val="32"/>
          <w:szCs w:val="32"/>
          <w:highlight w:val="none"/>
          <w:u w:val="none"/>
          <w:lang w:val="en-US" w:eastAsia="zh-CN" w:bidi="ar"/>
        </w:rPr>
        <w:t>六保</w:t>
      </w:r>
      <w:r>
        <w:rPr>
          <w:rFonts w:hint="eastAsia" w:ascii="Times New Roman" w:hAnsi="Times New Roman" w:eastAsia="仿宋_GB2312" w:cs="Times New Roman"/>
          <w:b/>
          <w:bCs/>
          <w:color w:val="auto"/>
          <w:kern w:val="2"/>
          <w:sz w:val="32"/>
          <w:szCs w:val="32"/>
          <w:highlight w:val="none"/>
          <w:u w:val="none"/>
          <w:lang w:val="en-US" w:eastAsia="zh-CN" w:bidi="ar"/>
        </w:rPr>
        <w:t>：</w:t>
      </w:r>
      <w:r>
        <w:rPr>
          <w:rFonts w:hint="eastAsia" w:ascii="Times New Roman" w:hAnsi="Times New Roman" w:eastAsia="仿宋_GB2312" w:cs="Times New Roman"/>
          <w:color w:val="auto"/>
          <w:kern w:val="2"/>
          <w:sz w:val="32"/>
          <w:szCs w:val="32"/>
          <w:highlight w:val="none"/>
          <w:u w:val="none"/>
          <w:lang w:val="en-US" w:eastAsia="zh-CN" w:bidi="ar"/>
        </w:rPr>
        <w:t>保居民就业、保基本民生、保市场主体、保粮食能源安全、保产业链供应链稳定、保基层运转。</w:t>
      </w:r>
    </w:p>
    <w:p w14:paraId="1F5FE2D1">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Times New Roman" w:hAnsi="Times New Roman" w:eastAsia="仿宋_GB2312" w:cs="Times New Roman"/>
          <w:b/>
          <w:bCs/>
          <w:color w:val="auto"/>
          <w:kern w:val="2"/>
          <w:sz w:val="32"/>
          <w:szCs w:val="32"/>
          <w:highlight w:val="none"/>
          <w:u w:val="none"/>
          <w:lang w:val="en-US" w:eastAsia="zh-CN" w:bidi="ar"/>
        </w:rPr>
        <w:t>六最：</w:t>
      </w:r>
      <w:r>
        <w:rPr>
          <w:rFonts w:hint="eastAsia" w:ascii="Times New Roman" w:hAnsi="Times New Roman" w:eastAsia="仿宋_GB2312" w:cs="Times New Roman"/>
          <w:color w:val="auto"/>
          <w:kern w:val="2"/>
          <w:sz w:val="32"/>
          <w:szCs w:val="32"/>
          <w:highlight w:val="none"/>
          <w:u w:val="none"/>
          <w:lang w:val="en-US" w:eastAsia="zh-CN" w:bidi="ar"/>
        </w:rPr>
        <w:t>“六最”营商环境指审批最少、流程最优、体制最顺、机制最活、效率最高、服务最好。</w:t>
      </w:r>
    </w:p>
    <w:p w14:paraId="01BE637F">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Times New Roman" w:hAnsi="Times New Roman" w:eastAsia="仿宋_GB2312" w:cs="Times New Roman"/>
          <w:b/>
          <w:bCs/>
          <w:color w:val="auto"/>
          <w:kern w:val="2"/>
          <w:sz w:val="32"/>
          <w:szCs w:val="32"/>
          <w:highlight w:val="none"/>
          <w:u w:val="none"/>
          <w:lang w:val="en-US" w:eastAsia="zh-CN" w:bidi="ar"/>
        </w:rPr>
        <w:t>两个确保：</w:t>
      </w:r>
      <w:r>
        <w:rPr>
          <w:rFonts w:hint="eastAsia" w:ascii="Times New Roman" w:hAnsi="Times New Roman" w:eastAsia="仿宋_GB2312" w:cs="Times New Roman"/>
          <w:color w:val="auto"/>
          <w:kern w:val="2"/>
          <w:sz w:val="32"/>
          <w:szCs w:val="32"/>
          <w:highlight w:val="none"/>
          <w:u w:val="none"/>
          <w:lang w:val="en-US" w:eastAsia="zh-CN" w:bidi="ar"/>
        </w:rPr>
        <w:t>确保高质量建设现代化河南、确保高水平实现现代化河南。</w:t>
      </w:r>
    </w:p>
    <w:p w14:paraId="2E50451F">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default" w:ascii="Times New Roman" w:hAnsi="Times New Roman" w:eastAsia="仿宋_GB2312" w:cs="Times New Roman"/>
          <w:color w:val="auto"/>
          <w:kern w:val="2"/>
          <w:sz w:val="32"/>
          <w:szCs w:val="32"/>
          <w:highlight w:val="none"/>
          <w:u w:val="none"/>
          <w:lang w:val="en-US" w:eastAsia="zh-CN" w:bidi="ar"/>
        </w:rPr>
      </w:pPr>
      <w:r>
        <w:rPr>
          <w:rFonts w:hint="eastAsia" w:ascii="Times New Roman" w:hAnsi="Times New Roman" w:eastAsia="仿宋_GB2312" w:cs="Times New Roman"/>
          <w:b/>
          <w:bCs/>
          <w:color w:val="auto"/>
          <w:kern w:val="2"/>
          <w:sz w:val="32"/>
          <w:szCs w:val="32"/>
          <w:highlight w:val="none"/>
          <w:u w:val="none"/>
          <w:lang w:val="en-US" w:eastAsia="zh-CN" w:bidi="ar"/>
        </w:rPr>
        <w:t>十大战略：</w:t>
      </w:r>
      <w:r>
        <w:rPr>
          <w:rFonts w:hint="eastAsia" w:ascii="Times New Roman" w:hAnsi="Times New Roman" w:eastAsia="仿宋_GB2312" w:cs="Times New Roman"/>
          <w:color w:val="auto"/>
          <w:kern w:val="2"/>
          <w:sz w:val="32"/>
          <w:szCs w:val="32"/>
          <w:highlight w:val="none"/>
          <w:u w:val="none"/>
          <w:lang w:val="en-US" w:eastAsia="zh-CN" w:bidi="ar"/>
        </w:rPr>
        <w:t>创新驱动、科教兴省、人才强省战略，优势再造战略，数字化转型战略，换道领跑战略，文旅文创融合战略，以人为核心的新型城镇化战略，乡村振兴战略，绿色低碳转型战略，制度型开放战略，全面深化改革战略。</w:t>
      </w:r>
    </w:p>
    <w:p w14:paraId="63BD2CF3">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default" w:ascii="Times New Roman" w:hAnsi="Times New Roman" w:eastAsia="仿宋_GB2312" w:cs="Times New Roman"/>
          <w:b/>
          <w:bCs/>
          <w:color w:val="auto"/>
          <w:kern w:val="2"/>
          <w:sz w:val="32"/>
          <w:szCs w:val="32"/>
          <w:highlight w:val="none"/>
          <w:u w:val="none"/>
          <w:lang w:val="en-US" w:eastAsia="zh-CN" w:bidi="ar"/>
        </w:rPr>
        <w:t>一园三</w:t>
      </w:r>
      <w:r>
        <w:rPr>
          <w:rFonts w:hint="eastAsia" w:ascii="Times New Roman" w:hAnsi="Times New Roman" w:eastAsia="仿宋_GB2312" w:cs="Times New Roman"/>
          <w:b/>
          <w:bCs/>
          <w:color w:val="auto"/>
          <w:kern w:val="2"/>
          <w:sz w:val="32"/>
          <w:szCs w:val="32"/>
          <w:highlight w:val="none"/>
          <w:u w:val="none"/>
          <w:lang w:val="en-US" w:eastAsia="zh-CN" w:bidi="ar"/>
        </w:rPr>
        <w:t>带四区：</w:t>
      </w:r>
      <w:r>
        <w:rPr>
          <w:rFonts w:hint="eastAsia" w:ascii="Times New Roman" w:hAnsi="Times New Roman" w:eastAsia="仿宋_GB2312" w:cs="Times New Roman"/>
          <w:color w:val="auto"/>
          <w:kern w:val="2"/>
          <w:sz w:val="32"/>
          <w:szCs w:val="32"/>
          <w:highlight w:val="none"/>
          <w:u w:val="none"/>
          <w:lang w:val="en-US" w:eastAsia="zh-CN" w:bidi="ar"/>
        </w:rPr>
        <w:t>一园指创建国家级现代农业产业园；三带指重点发展东北部露地瓜菜产业带、西南部温室蔬菜产业带、北部冷棚蔬菜产业带；四区指打造种子种苗研发区、融合发展示范区、市场冷链配送区、精深加工区。</w:t>
      </w:r>
    </w:p>
    <w:p w14:paraId="1D096192">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default" w:ascii="Times New Roman" w:hAnsi="Times New Roman" w:eastAsia="仿宋_GB2312" w:cs="Times New Roman"/>
          <w:color w:val="auto"/>
          <w:kern w:val="2"/>
          <w:sz w:val="32"/>
          <w:szCs w:val="32"/>
          <w:highlight w:val="none"/>
          <w:u w:val="none"/>
          <w:lang w:val="en-US" w:eastAsia="zh-CN" w:bidi="ar"/>
        </w:rPr>
      </w:pPr>
      <w:r>
        <w:rPr>
          <w:rFonts w:hint="default" w:ascii="Times New Roman" w:hAnsi="Times New Roman" w:eastAsia="仿宋_GB2312" w:cs="Times New Roman"/>
          <w:b/>
          <w:bCs/>
          <w:color w:val="auto"/>
          <w:kern w:val="2"/>
          <w:sz w:val="32"/>
          <w:szCs w:val="32"/>
          <w:highlight w:val="none"/>
          <w:u w:val="none"/>
          <w:lang w:val="en-US" w:eastAsia="zh-CN" w:bidi="ar"/>
        </w:rPr>
        <w:t>三品一标</w:t>
      </w:r>
      <w:r>
        <w:rPr>
          <w:rFonts w:hint="eastAsia" w:ascii="Times New Roman" w:hAnsi="Times New Roman" w:eastAsia="仿宋_GB2312" w:cs="Times New Roman"/>
          <w:b/>
          <w:bCs/>
          <w:color w:val="auto"/>
          <w:kern w:val="2"/>
          <w:sz w:val="32"/>
          <w:szCs w:val="32"/>
          <w:highlight w:val="none"/>
          <w:u w:val="none"/>
          <w:lang w:val="en-US" w:eastAsia="zh-CN" w:bidi="ar"/>
        </w:rPr>
        <w:t>：</w:t>
      </w:r>
      <w:r>
        <w:rPr>
          <w:rFonts w:hint="eastAsia" w:ascii="Times New Roman" w:hAnsi="Times New Roman" w:eastAsia="仿宋_GB2312" w:cs="Times New Roman"/>
          <w:color w:val="auto"/>
          <w:kern w:val="2"/>
          <w:sz w:val="32"/>
          <w:szCs w:val="32"/>
          <w:highlight w:val="none"/>
          <w:u w:val="none"/>
          <w:lang w:val="en-US" w:eastAsia="zh-CN" w:bidi="ar"/>
        </w:rPr>
        <w:t>无公害农产品、绿色食品、有机农产品和农产品地理标志统称“三品一标”。</w:t>
      </w:r>
    </w:p>
    <w:p w14:paraId="0C86E57E">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Times New Roman" w:hAnsi="Times New Roman" w:eastAsia="仿宋_GB2312" w:cs="Times New Roman"/>
          <w:b/>
          <w:bCs/>
          <w:color w:val="auto"/>
          <w:kern w:val="2"/>
          <w:sz w:val="32"/>
          <w:szCs w:val="32"/>
          <w:highlight w:val="none"/>
          <w:u w:val="none"/>
          <w:lang w:val="en-US" w:eastAsia="zh-CN" w:bidi="ar"/>
        </w:rPr>
        <w:t>千万工程：</w:t>
      </w:r>
      <w:r>
        <w:rPr>
          <w:rFonts w:hint="eastAsia" w:ascii="Times New Roman" w:hAnsi="Times New Roman" w:eastAsia="仿宋_GB2312" w:cs="Times New Roman"/>
          <w:color w:val="auto"/>
          <w:kern w:val="2"/>
          <w:sz w:val="32"/>
          <w:szCs w:val="32"/>
          <w:highlight w:val="none"/>
          <w:u w:val="none"/>
          <w:lang w:val="en-US" w:eastAsia="zh-CN" w:bidi="ar"/>
        </w:rPr>
        <w:t>建设1000多个环境美、田园美、村庄美、庭院美的“四美乡村”，按照河南省农村人居环境整治三年行动实施方案要求，因地制宜，分类施策，扎实推进农村生活垃圾治理、生活污水治理、农村厕所革命、农业生产废弃物资源化利用和村容村貌提升等5项重点任务。</w:t>
      </w:r>
    </w:p>
    <w:p w14:paraId="19ACF72F">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Times New Roman" w:hAnsi="Times New Roman" w:eastAsia="仿宋_GB2312" w:cs="Times New Roman"/>
          <w:b/>
          <w:bCs/>
          <w:color w:val="auto"/>
          <w:kern w:val="2"/>
          <w:sz w:val="32"/>
          <w:szCs w:val="32"/>
          <w:highlight w:val="none"/>
          <w:u w:val="none"/>
          <w:lang w:val="en-US" w:eastAsia="zh-CN" w:bidi="ar"/>
        </w:rPr>
        <w:t>和美乡村：</w:t>
      </w:r>
      <w:r>
        <w:rPr>
          <w:rFonts w:hint="eastAsia" w:ascii="Times New Roman" w:hAnsi="Times New Roman" w:eastAsia="仿宋_GB2312" w:cs="Times New Roman"/>
          <w:color w:val="auto"/>
          <w:kern w:val="2"/>
          <w:sz w:val="32"/>
          <w:szCs w:val="32"/>
          <w:highlight w:val="none"/>
          <w:u w:val="none"/>
          <w:lang w:val="en-US" w:eastAsia="zh-CN" w:bidi="ar"/>
        </w:rPr>
        <w:t>党的二十大报告提出“建设宜居宜业和美乡村”，打造宜居、宜业、和谐、美丽的现代化乡村家园。</w:t>
      </w:r>
    </w:p>
    <w:p w14:paraId="788146F9">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Times New Roman" w:hAnsi="Times New Roman" w:eastAsia="仿宋_GB2312" w:cs="Times New Roman"/>
          <w:b/>
          <w:bCs/>
          <w:color w:val="auto"/>
          <w:kern w:val="2"/>
          <w:sz w:val="32"/>
          <w:szCs w:val="32"/>
          <w:highlight w:val="none"/>
          <w:u w:val="none"/>
          <w:lang w:val="en-US" w:eastAsia="zh-CN" w:bidi="ar"/>
        </w:rPr>
        <w:t>一宅变四园：</w:t>
      </w:r>
      <w:r>
        <w:rPr>
          <w:rFonts w:hint="eastAsia" w:ascii="Times New Roman" w:hAnsi="Times New Roman" w:eastAsia="仿宋_GB2312" w:cs="Times New Roman"/>
          <w:color w:val="auto"/>
          <w:kern w:val="2"/>
          <w:sz w:val="32"/>
          <w:szCs w:val="32"/>
          <w:highlight w:val="none"/>
          <w:u w:val="none"/>
          <w:lang w:val="en-US" w:eastAsia="zh-CN" w:bidi="ar"/>
        </w:rPr>
        <w:t>将农村闲置、废弃的宅基地，通过拆墙透绿、分类改造，因地制宜打造为菜园、果园、花园、游园四类功能性小园。</w:t>
      </w:r>
    </w:p>
    <w:p w14:paraId="6D6F7972">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default" w:ascii="Times New Roman" w:hAnsi="Times New Roman" w:eastAsia="仿宋_GB2312" w:cs="Times New Roman"/>
          <w:b/>
          <w:bCs/>
          <w:color w:val="auto"/>
          <w:kern w:val="2"/>
          <w:sz w:val="32"/>
          <w:szCs w:val="32"/>
          <w:highlight w:val="none"/>
          <w:u w:val="none"/>
          <w:lang w:val="en-US" w:eastAsia="zh-CN" w:bidi="ar"/>
        </w:rPr>
        <w:t>三区三线</w:t>
      </w:r>
      <w:r>
        <w:rPr>
          <w:rFonts w:hint="eastAsia" w:ascii="Times New Roman" w:hAnsi="Times New Roman" w:eastAsia="仿宋_GB2312" w:cs="Times New Roman"/>
          <w:b/>
          <w:bCs/>
          <w:color w:val="auto"/>
          <w:kern w:val="2"/>
          <w:sz w:val="32"/>
          <w:szCs w:val="32"/>
          <w:highlight w:val="none"/>
          <w:u w:val="none"/>
          <w:lang w:val="en-US" w:eastAsia="zh-CN" w:bidi="ar"/>
        </w:rPr>
        <w:t>：</w:t>
      </w:r>
      <w:r>
        <w:rPr>
          <w:rFonts w:hint="eastAsia" w:ascii="Times New Roman" w:hAnsi="Times New Roman" w:eastAsia="仿宋_GB2312" w:cs="Times New Roman"/>
          <w:color w:val="auto"/>
          <w:kern w:val="2"/>
          <w:sz w:val="32"/>
          <w:szCs w:val="32"/>
          <w:highlight w:val="none"/>
          <w:u w:val="none"/>
          <w:lang w:val="en-US" w:eastAsia="zh-CN" w:bidi="ar"/>
        </w:rPr>
        <w:t>根据城镇空间、农业空间、生态空间三种类型的空间,分别对应划定的城镇开发边界、永久基本农田保护红线、生态保护红线三条控制线。</w:t>
      </w:r>
    </w:p>
    <w:p w14:paraId="2808EBC0">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Times New Roman" w:hAnsi="Times New Roman" w:eastAsia="仿宋_GB2312" w:cs="Times New Roman"/>
          <w:b/>
          <w:bCs/>
          <w:color w:val="auto"/>
          <w:kern w:val="2"/>
          <w:sz w:val="32"/>
          <w:szCs w:val="32"/>
          <w:highlight w:val="none"/>
          <w:u w:val="none"/>
          <w:lang w:val="en-US" w:eastAsia="zh-CN" w:bidi="ar"/>
        </w:rPr>
        <w:t>五位一体：</w:t>
      </w:r>
      <w:r>
        <w:rPr>
          <w:rFonts w:hint="eastAsia" w:ascii="Times New Roman" w:hAnsi="Times New Roman" w:eastAsia="仿宋_GB2312" w:cs="Times New Roman"/>
          <w:color w:val="auto"/>
          <w:kern w:val="2"/>
          <w:sz w:val="32"/>
          <w:szCs w:val="32"/>
          <w:highlight w:val="none"/>
          <w:u w:val="none"/>
          <w:lang w:val="en-US" w:eastAsia="zh-CN" w:bidi="ar"/>
        </w:rPr>
        <w:t>“五位一体”总体布局是指经济建设、政治建设、文化建设、社会建设和生态文明建设五位一体，全面推进。</w:t>
      </w:r>
    </w:p>
    <w:p w14:paraId="048457AD">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Times New Roman" w:hAnsi="Times New Roman" w:eastAsia="仿宋_GB2312" w:cs="Times New Roman"/>
          <w:b/>
          <w:bCs/>
          <w:color w:val="auto"/>
          <w:kern w:val="2"/>
          <w:sz w:val="32"/>
          <w:szCs w:val="32"/>
          <w:highlight w:val="none"/>
          <w:u w:val="none"/>
          <w:lang w:val="en-US" w:eastAsia="zh-CN" w:bidi="ar"/>
        </w:rPr>
        <w:t>四个全面：</w:t>
      </w:r>
      <w:r>
        <w:rPr>
          <w:rFonts w:hint="eastAsia" w:ascii="Times New Roman" w:hAnsi="Times New Roman" w:eastAsia="仿宋_GB2312" w:cs="Times New Roman"/>
          <w:color w:val="auto"/>
          <w:kern w:val="2"/>
          <w:sz w:val="32"/>
          <w:szCs w:val="32"/>
          <w:highlight w:val="none"/>
          <w:u w:val="none"/>
          <w:lang w:val="en-US" w:eastAsia="zh-CN" w:bidi="ar"/>
        </w:rPr>
        <w:t>即全面建设社会主义现代化国家、全面深化改革、全面依法治国、全面从严治党。</w:t>
      </w:r>
    </w:p>
    <w:p w14:paraId="25E33D08">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Times New Roman" w:hAnsi="Times New Roman" w:eastAsia="仿宋_GB2312" w:cs="Times New Roman"/>
          <w:b/>
          <w:bCs/>
          <w:color w:val="auto"/>
          <w:kern w:val="2"/>
          <w:sz w:val="32"/>
          <w:szCs w:val="32"/>
          <w:highlight w:val="none"/>
          <w:u w:val="none"/>
          <w:lang w:val="en-US" w:eastAsia="zh-CN" w:bidi="ar"/>
        </w:rPr>
        <w:t>一都一极三基地：</w:t>
      </w:r>
      <w:r>
        <w:rPr>
          <w:rFonts w:hint="eastAsia" w:ascii="Times New Roman" w:hAnsi="Times New Roman" w:eastAsia="仿宋_GB2312" w:cs="Times New Roman"/>
          <w:color w:val="auto"/>
          <w:kern w:val="2"/>
          <w:sz w:val="32"/>
          <w:szCs w:val="32"/>
          <w:highlight w:val="none"/>
          <w:u w:val="none"/>
          <w:lang w:val="en-US" w:eastAsia="zh-CN" w:bidi="ar"/>
        </w:rPr>
        <w:t>全国有影响力的全生态蔬菜之都、豫东产业转移示范增长极、高端装备智造产业基地、时尚服装产业基地和商贸物流枢纽基地。</w:t>
      </w:r>
    </w:p>
    <w:p w14:paraId="55E22843">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Times New Roman" w:hAnsi="Times New Roman" w:eastAsia="仿宋_GB2312" w:cs="Times New Roman"/>
          <w:b/>
          <w:bCs/>
          <w:color w:val="auto"/>
          <w:kern w:val="2"/>
          <w:sz w:val="32"/>
          <w:szCs w:val="32"/>
          <w:highlight w:val="none"/>
          <w:u w:val="none"/>
          <w:lang w:val="en-US" w:eastAsia="zh-CN" w:bidi="ar"/>
        </w:rPr>
        <w:t>五县：</w:t>
      </w:r>
      <w:r>
        <w:rPr>
          <w:rFonts w:hint="eastAsia" w:ascii="Times New Roman" w:hAnsi="Times New Roman" w:eastAsia="仿宋_GB2312" w:cs="Times New Roman"/>
          <w:color w:val="auto"/>
          <w:kern w:val="2"/>
          <w:sz w:val="32"/>
          <w:szCs w:val="32"/>
          <w:highlight w:val="none"/>
          <w:u w:val="none"/>
          <w:lang w:val="en-US" w:eastAsia="zh-CN" w:bidi="ar"/>
        </w:rPr>
        <w:t>农业强县、工业兴县、文旅活县、交通畅县、教育名县。</w:t>
      </w:r>
    </w:p>
    <w:p w14:paraId="7063FD4E">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Times New Roman" w:hAnsi="Times New Roman" w:eastAsia="仿宋_GB2312" w:cs="Times New Roman"/>
          <w:b/>
          <w:bCs/>
          <w:color w:val="auto"/>
          <w:kern w:val="2"/>
          <w:sz w:val="32"/>
          <w:szCs w:val="32"/>
          <w:highlight w:val="none"/>
          <w:u w:val="none"/>
          <w:lang w:val="en-US" w:eastAsia="zh-CN" w:bidi="ar"/>
        </w:rPr>
        <w:t>五扶沟：</w:t>
      </w:r>
      <w:r>
        <w:rPr>
          <w:rFonts w:hint="eastAsia" w:ascii="Times New Roman" w:hAnsi="Times New Roman" w:eastAsia="仿宋_GB2312" w:cs="Times New Roman"/>
          <w:color w:val="auto"/>
          <w:kern w:val="2"/>
          <w:sz w:val="32"/>
          <w:szCs w:val="32"/>
          <w:highlight w:val="none"/>
          <w:u w:val="none"/>
          <w:lang w:val="en-US" w:eastAsia="zh-CN" w:bidi="ar"/>
        </w:rPr>
        <w:t>文明扶沟、富裕扶沟、平安扶沟、宜居扶沟、美丽扶沟。</w:t>
      </w:r>
    </w:p>
    <w:p w14:paraId="63FA9B3A">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Times New Roman" w:hAnsi="Times New Roman" w:eastAsia="仿宋_GB2312" w:cs="Times New Roman"/>
          <w:b/>
          <w:bCs/>
          <w:color w:val="auto"/>
          <w:kern w:val="2"/>
          <w:sz w:val="32"/>
          <w:szCs w:val="32"/>
          <w:highlight w:val="none"/>
          <w:u w:val="none"/>
          <w:lang w:val="en-US" w:eastAsia="zh-CN" w:bidi="ar"/>
        </w:rPr>
        <w:t>16232工程：</w:t>
      </w:r>
      <w:r>
        <w:rPr>
          <w:rFonts w:hint="eastAsia" w:ascii="Times New Roman" w:hAnsi="Times New Roman" w:eastAsia="仿宋_GB2312" w:cs="Times New Roman"/>
          <w:color w:val="auto"/>
          <w:kern w:val="2"/>
          <w:sz w:val="32"/>
          <w:szCs w:val="32"/>
          <w:highlight w:val="none"/>
          <w:u w:val="none"/>
          <w:lang w:val="en-US" w:eastAsia="zh-CN" w:bidi="ar"/>
        </w:rPr>
        <w:t>坚持一个原则、抓好六大板块、突出两个特色、守牢三条底线和强化两个保障。</w:t>
      </w:r>
    </w:p>
    <w:p w14:paraId="451BCE26">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Times New Roman" w:hAnsi="Times New Roman" w:eastAsia="仿宋_GB2312" w:cs="Times New Roman"/>
          <w:b/>
          <w:bCs/>
          <w:color w:val="auto"/>
          <w:kern w:val="2"/>
          <w:sz w:val="32"/>
          <w:szCs w:val="32"/>
          <w:highlight w:val="none"/>
          <w:u w:val="none"/>
          <w:lang w:val="en-US" w:eastAsia="zh-CN" w:bidi="ar"/>
        </w:rPr>
        <w:t>“3+4+N”现代产业体系：</w:t>
      </w:r>
      <w:r>
        <w:rPr>
          <w:rFonts w:hint="eastAsia" w:ascii="Times New Roman" w:hAnsi="Times New Roman" w:eastAsia="仿宋_GB2312" w:cs="Times New Roman"/>
          <w:color w:val="auto"/>
          <w:kern w:val="2"/>
          <w:sz w:val="32"/>
          <w:szCs w:val="32"/>
          <w:highlight w:val="none"/>
          <w:u w:val="none"/>
          <w:lang w:val="en-US" w:eastAsia="zh-CN" w:bidi="ar"/>
        </w:rPr>
        <w:t>巩固以蔬菜产业，装备制造、纺织服装产业为核心的特色和主导产业；抢占以节能环保、新能源、新材料、数字经济为核心的新兴产业赛道；前瞻布局未来制造、未来材料、未来能源、低空经济等N个未来产业。</w:t>
      </w:r>
    </w:p>
    <w:p w14:paraId="095562AE">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Times New Roman" w:hAnsi="Times New Roman" w:eastAsia="仿宋_GB2312" w:cs="Times New Roman"/>
          <w:b/>
          <w:bCs/>
          <w:color w:val="auto"/>
          <w:kern w:val="2"/>
          <w:sz w:val="32"/>
          <w:szCs w:val="32"/>
          <w:highlight w:val="none"/>
          <w:u w:val="none"/>
          <w:lang w:val="en-US" w:eastAsia="zh-CN" w:bidi="ar"/>
        </w:rPr>
        <w:t>一转带三化：</w:t>
      </w:r>
      <w:r>
        <w:rPr>
          <w:rFonts w:hint="eastAsia" w:ascii="Times New Roman" w:hAnsi="Times New Roman" w:eastAsia="仿宋_GB2312" w:cs="Times New Roman"/>
          <w:color w:val="auto"/>
          <w:kern w:val="2"/>
          <w:sz w:val="32"/>
          <w:szCs w:val="32"/>
          <w:highlight w:val="none"/>
          <w:u w:val="none"/>
          <w:lang w:val="en-US" w:eastAsia="zh-CN" w:bidi="ar"/>
        </w:rPr>
        <w:t>以数字化转型带动制造业高端化、智能化、绿色化发展。</w:t>
      </w:r>
    </w:p>
    <w:p w14:paraId="68628A03">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Times New Roman" w:hAnsi="Times New Roman" w:eastAsia="仿宋_GB2312" w:cs="Times New Roman"/>
          <w:b/>
          <w:bCs/>
          <w:color w:val="auto"/>
          <w:kern w:val="2"/>
          <w:sz w:val="32"/>
          <w:szCs w:val="32"/>
          <w:highlight w:val="none"/>
          <w:u w:val="none"/>
          <w:lang w:val="en-US" w:eastAsia="zh-CN" w:bidi="ar"/>
        </w:rPr>
        <w:t>“五个一”项目推进机制</w:t>
      </w:r>
      <w:r>
        <w:rPr>
          <w:rFonts w:hint="eastAsia" w:ascii="Times New Roman" w:hAnsi="Times New Roman" w:eastAsia="仿宋_GB2312" w:cs="Times New Roman"/>
          <w:color w:val="auto"/>
          <w:kern w:val="2"/>
          <w:sz w:val="32"/>
          <w:szCs w:val="32"/>
          <w:highlight w:val="none"/>
          <w:u w:val="none"/>
          <w:lang w:val="en-US" w:eastAsia="zh-CN" w:bidi="ar"/>
        </w:rPr>
        <w:t>：一名领导包联、一个专班服务、一套推进方案、一笔配套资金、一套考核办法。</w:t>
      </w:r>
    </w:p>
    <w:p w14:paraId="5C1337A4">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Times New Roman" w:hAnsi="Times New Roman" w:eastAsia="仿宋_GB2312" w:cs="Times New Roman"/>
          <w:color w:val="auto"/>
          <w:kern w:val="2"/>
          <w:sz w:val="32"/>
          <w:szCs w:val="32"/>
          <w:highlight w:val="none"/>
          <w:u w:val="none"/>
          <w:lang w:val="en-US" w:eastAsia="zh-CN" w:bidi="ar"/>
        </w:rPr>
      </w:pPr>
      <w:r>
        <w:rPr>
          <w:rFonts w:hint="eastAsia" w:ascii="Times New Roman" w:hAnsi="Times New Roman" w:eastAsia="仿宋_GB2312" w:cs="Times New Roman"/>
          <w:b/>
          <w:bCs/>
          <w:color w:val="auto"/>
          <w:kern w:val="2"/>
          <w:sz w:val="32"/>
          <w:szCs w:val="32"/>
          <w:highlight w:val="none"/>
          <w:u w:val="none"/>
          <w:lang w:val="en-US" w:eastAsia="zh-CN" w:bidi="ar"/>
        </w:rPr>
        <w:t>“一核两翼、三心三组团”城镇发展格局</w:t>
      </w:r>
      <w:r>
        <w:rPr>
          <w:rFonts w:hint="eastAsia" w:ascii="Times New Roman" w:hAnsi="Times New Roman" w:eastAsia="仿宋_GB2312" w:cs="Times New Roman"/>
          <w:color w:val="auto"/>
          <w:kern w:val="2"/>
          <w:sz w:val="32"/>
          <w:szCs w:val="32"/>
          <w:highlight w:val="none"/>
          <w:u w:val="none"/>
          <w:lang w:val="en-US" w:eastAsia="zh-CN" w:bidi="ar"/>
        </w:rPr>
        <w:t>：强化“一核”，强化中心城区、大李庄乡及柴岗乡形成的中心组团功能；培育“两翼”，加快韭园镇、大新镇产业培育，重点发展商贸物流、食品加工产业，建成产业强镇；打造三个中心镇，规划打造崔桥镇、练寺镇、白潭镇三个中心镇；形成三个发展组团，推动北部城镇发展组团、中部城镇发展组团、南部城镇发展组团内部各乡（镇）统筹协作。</w:t>
      </w:r>
    </w:p>
    <w:p w14:paraId="4CC9923E">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default" w:ascii="Times New Roman" w:hAnsi="Times New Roman" w:eastAsia="仿宋_GB2312" w:cs="Times New Roman"/>
          <w:color w:val="auto"/>
          <w:kern w:val="2"/>
          <w:sz w:val="32"/>
          <w:szCs w:val="32"/>
          <w:highlight w:val="none"/>
          <w:u w:val="none"/>
          <w:lang w:val="en-US" w:eastAsia="zh-CN" w:bidi="ar"/>
        </w:rPr>
      </w:pPr>
      <w:r>
        <w:rPr>
          <w:rFonts w:hint="eastAsia" w:ascii="Times New Roman" w:hAnsi="Times New Roman" w:eastAsia="仿宋_GB2312" w:cs="Times New Roman"/>
          <w:b/>
          <w:bCs/>
          <w:color w:val="auto"/>
          <w:kern w:val="2"/>
          <w:sz w:val="32"/>
          <w:szCs w:val="32"/>
          <w:highlight w:val="none"/>
          <w:u w:val="none"/>
          <w:lang w:val="en-US" w:eastAsia="zh-CN" w:bidi="ar"/>
        </w:rPr>
        <w:t>“红古绿”三色旅游线路：</w:t>
      </w:r>
      <w:r>
        <w:rPr>
          <w:rFonts w:hint="eastAsia" w:ascii="Times New Roman" w:hAnsi="Times New Roman" w:eastAsia="仿宋_GB2312" w:cs="Times New Roman"/>
          <w:color w:val="auto"/>
          <w:kern w:val="2"/>
          <w:sz w:val="32"/>
          <w:szCs w:val="32"/>
          <w:highlight w:val="none"/>
          <w:u w:val="none"/>
          <w:lang w:val="en-US" w:eastAsia="zh-CN" w:bidi="ar"/>
        </w:rPr>
        <w:t>依托扶沟县域吉鸿昌等红色文化资源、大程书院等传统文化资源、蔬菜种植基地等绿色资源，形成县域内的“红古绿”三色旅游线路。</w:t>
      </w:r>
    </w:p>
    <w:p w14:paraId="78A2E037">
      <w:pPr>
        <w:rPr>
          <w:rFonts w:hint="eastAsia"/>
          <w:lang w:val="en-US" w:eastAsia="zh-CN"/>
        </w:rPr>
      </w:pPr>
    </w:p>
    <w:sectPr>
      <w:footerReference r:id="rId3" w:type="default"/>
      <w:pgSz w:w="11906" w:h="16838"/>
      <w:pgMar w:top="1440" w:right="1440" w:bottom="1440" w:left="1440" w:header="708" w:footer="708" w:gutter="0"/>
      <w:pgNumType w:fmt="numberInDash" w:start="1"/>
      <w:cols w:space="720"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_GBK">
    <w:altName w:val="微软雅黑"/>
    <w:panose1 w:val="03000509000000000000"/>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KSOFF9CBECC6">
    <w:panose1 w:val="02010609060101010101"/>
    <w:charset w:val="86"/>
    <w:family w:val="auto"/>
    <w:pitch w:val="default"/>
    <w:sig w:usb0="00000001" w:usb1="00000000" w:usb2="00000000" w:usb3="00000000" w:csb0="00040001" w:csb1="00000000"/>
  </w:font>
  <w:font w:name="KSOFE44F9426">
    <w:panose1 w:val="02010609060101010101"/>
    <w:charset w:val="86"/>
    <w:family w:val="auto"/>
    <w:pitch w:val="default"/>
    <w:sig w:usb0="00000001" w:usb1="00000000" w:usb2="00000000" w:usb3="00000000" w:csb0="00040001" w:csb1="00000000"/>
  </w:font>
  <w:font w:name="KSOFF9CC6125">
    <w:panose1 w:val="02010609060101010101"/>
    <w:charset w:val="86"/>
    <w:family w:val="auto"/>
    <w:pitch w:val="default"/>
    <w:sig w:usb0="00000001" w:usb1="00000000" w:usb2="00000000" w:usb3="00000000" w:csb0="00040001" w:csb1="00000000"/>
  </w:font>
  <w:font w:name="KSOF8080F95D">
    <w:panose1 w:val="020B0503020204020204"/>
    <w:charset w:val="86"/>
    <w:family w:val="auto"/>
    <w:pitch w:val="default"/>
    <w:sig w:usb0="00000001" w:usb1="00000000" w:usb2="00000000" w:usb3="00000000" w:csb0="00040001" w:csb1="00000000"/>
  </w:font>
  <w:font w:name="KSOFE4500885">
    <w:panose1 w:val="02010609060101010101"/>
    <w:charset w:val="86"/>
    <w:family w:val="auto"/>
    <w:pitch w:val="default"/>
    <w:sig w:usb0="00000001" w:usb1="00000000" w:usb2="00000000" w:usb3="00000000" w:csb0="00040001" w:csb1="00000000"/>
  </w:font>
  <w:font w:name="MS PGothic">
    <w:panose1 w:val="020B0600070205080204"/>
    <w:charset w:val="80"/>
    <w:family w:val="auto"/>
    <w:pitch w:val="default"/>
    <w:sig w:usb0="E00002FF" w:usb1="6AC7FDFB" w:usb2="08000012" w:usb3="00000000" w:csb0="4002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356267">
    <w:pPr>
      <w:pStyle w:val="1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7299128">
                          <w:pPr>
                            <w:pStyle w:val="12"/>
                            <w:rPr>
                              <w:sz w:val="21"/>
                              <w:szCs w:val="21"/>
                            </w:rPr>
                          </w:pPr>
                          <w:r>
                            <w:rPr>
                              <w:sz w:val="21"/>
                              <w:szCs w:val="21"/>
                            </w:rPr>
                            <w:fldChar w:fldCharType="begin"/>
                          </w:r>
                          <w:r>
                            <w:rPr>
                              <w:sz w:val="21"/>
                              <w:szCs w:val="21"/>
                            </w:rPr>
                            <w:instrText xml:space="preserve"> PAGE  \* MERGEFORMAT </w:instrText>
                          </w:r>
                          <w:r>
                            <w:rPr>
                              <w:sz w:val="21"/>
                              <w:szCs w:val="21"/>
                            </w:rPr>
                            <w:fldChar w:fldCharType="separate"/>
                          </w:r>
                          <w:r>
                            <w:rPr>
                              <w:sz w:val="21"/>
                              <w:szCs w:val="21"/>
                            </w:rPr>
                            <w:t>4</w:t>
                          </w:r>
                          <w:r>
                            <w:rPr>
                              <w:sz w:val="21"/>
                              <w:szCs w:val="21"/>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67299128">
                    <w:pPr>
                      <w:pStyle w:val="12"/>
                      <w:rPr>
                        <w:sz w:val="21"/>
                        <w:szCs w:val="21"/>
                      </w:rPr>
                    </w:pPr>
                    <w:r>
                      <w:rPr>
                        <w:sz w:val="21"/>
                        <w:szCs w:val="21"/>
                      </w:rPr>
                      <w:fldChar w:fldCharType="begin"/>
                    </w:r>
                    <w:r>
                      <w:rPr>
                        <w:sz w:val="21"/>
                        <w:szCs w:val="21"/>
                      </w:rPr>
                      <w:instrText xml:space="preserve"> PAGE  \* MERGEFORMAT </w:instrText>
                    </w:r>
                    <w:r>
                      <w:rPr>
                        <w:sz w:val="21"/>
                        <w:szCs w:val="21"/>
                      </w:rPr>
                      <w:fldChar w:fldCharType="separate"/>
                    </w:r>
                    <w:r>
                      <w:rPr>
                        <w:sz w:val="21"/>
                        <w:szCs w:val="21"/>
                      </w:rPr>
                      <w:t>4</w:t>
                    </w:r>
                    <w:r>
                      <w:rPr>
                        <w:sz w:val="21"/>
                        <w:szCs w:val="21"/>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isplayBackgroundShape w:val="1"/>
  <w:bordersDoNotSurroundHeader w:val="0"/>
  <w:bordersDoNotSurroundFooter w:val="0"/>
  <w:documentProtection w:enforcement="0"/>
  <w:displayHorizontalDrawingGridEvery w:val="1"/>
  <w:displayVerticalDrawingGridEvery w:val="1"/>
  <w:noPunctuationKerning w:val="1"/>
  <w:compat>
    <w:doNotExpandShiftReturn/>
    <w:doNotWrapTextWithPunct/>
    <w:doNotUseEastAsianBreakRules/>
    <w:useFELayout/>
    <w:compatSetting w:name="compatibilityMode" w:uri="http://schemas.microsoft.com/office/word" w:val="15"/>
  </w:compat>
  <w:docVars>
    <w:docVar w:name="commondata" w:val="eyJoZGlkIjoiNWE4YzJkNTA0YWRiMDZmMjFjODkyZWMwNzdjMzg5ZWEifQ=="/>
  </w:docVars>
  <w:rsids>
    <w:rsidRoot w:val="00000000"/>
    <w:rsid w:val="00215AA4"/>
    <w:rsid w:val="006360BD"/>
    <w:rsid w:val="00816543"/>
    <w:rsid w:val="00953D9C"/>
    <w:rsid w:val="00964B1B"/>
    <w:rsid w:val="00AF1302"/>
    <w:rsid w:val="00B76409"/>
    <w:rsid w:val="00C30909"/>
    <w:rsid w:val="00EA40E8"/>
    <w:rsid w:val="00F05477"/>
    <w:rsid w:val="00F74A57"/>
    <w:rsid w:val="00FE7031"/>
    <w:rsid w:val="01141165"/>
    <w:rsid w:val="012A0989"/>
    <w:rsid w:val="013E4434"/>
    <w:rsid w:val="01877B89"/>
    <w:rsid w:val="01DA23AF"/>
    <w:rsid w:val="021B6523"/>
    <w:rsid w:val="023512AC"/>
    <w:rsid w:val="023F0464"/>
    <w:rsid w:val="025A704C"/>
    <w:rsid w:val="027345B1"/>
    <w:rsid w:val="0284056C"/>
    <w:rsid w:val="0288005D"/>
    <w:rsid w:val="02E37041"/>
    <w:rsid w:val="02E828A9"/>
    <w:rsid w:val="02EB4148"/>
    <w:rsid w:val="02F51998"/>
    <w:rsid w:val="03192A63"/>
    <w:rsid w:val="03195159"/>
    <w:rsid w:val="03351867"/>
    <w:rsid w:val="03463A74"/>
    <w:rsid w:val="034C72DC"/>
    <w:rsid w:val="03563CB7"/>
    <w:rsid w:val="03575C81"/>
    <w:rsid w:val="035E2B6B"/>
    <w:rsid w:val="035E4919"/>
    <w:rsid w:val="037405E1"/>
    <w:rsid w:val="0385459C"/>
    <w:rsid w:val="03870314"/>
    <w:rsid w:val="038A570F"/>
    <w:rsid w:val="039667A9"/>
    <w:rsid w:val="039B5B6E"/>
    <w:rsid w:val="039D18E6"/>
    <w:rsid w:val="03A04F32"/>
    <w:rsid w:val="03B86720"/>
    <w:rsid w:val="03BB1D6C"/>
    <w:rsid w:val="03C30C20"/>
    <w:rsid w:val="03F11C32"/>
    <w:rsid w:val="03F37758"/>
    <w:rsid w:val="03F82FC0"/>
    <w:rsid w:val="04277401"/>
    <w:rsid w:val="043A7135"/>
    <w:rsid w:val="04477AA3"/>
    <w:rsid w:val="04934A97"/>
    <w:rsid w:val="04B213C1"/>
    <w:rsid w:val="04B844FD"/>
    <w:rsid w:val="04C9495C"/>
    <w:rsid w:val="04DA4474"/>
    <w:rsid w:val="05143E2A"/>
    <w:rsid w:val="051E6A56"/>
    <w:rsid w:val="05235E1B"/>
    <w:rsid w:val="052E47BF"/>
    <w:rsid w:val="05341DD6"/>
    <w:rsid w:val="05373674"/>
    <w:rsid w:val="053B1761"/>
    <w:rsid w:val="05445D91"/>
    <w:rsid w:val="05656433"/>
    <w:rsid w:val="056703FD"/>
    <w:rsid w:val="056D353A"/>
    <w:rsid w:val="056D52E8"/>
    <w:rsid w:val="057523EE"/>
    <w:rsid w:val="05A14F91"/>
    <w:rsid w:val="05AD7DDA"/>
    <w:rsid w:val="05B72A07"/>
    <w:rsid w:val="05D435B9"/>
    <w:rsid w:val="05F9301F"/>
    <w:rsid w:val="06085010"/>
    <w:rsid w:val="060F45F1"/>
    <w:rsid w:val="06147E59"/>
    <w:rsid w:val="06190FCC"/>
    <w:rsid w:val="0619721E"/>
    <w:rsid w:val="0636392C"/>
    <w:rsid w:val="063858F6"/>
    <w:rsid w:val="0680729D"/>
    <w:rsid w:val="068C3E93"/>
    <w:rsid w:val="06B036DE"/>
    <w:rsid w:val="06C66B2C"/>
    <w:rsid w:val="06CC4290"/>
    <w:rsid w:val="06CD24E2"/>
    <w:rsid w:val="06D373CC"/>
    <w:rsid w:val="06ED4932"/>
    <w:rsid w:val="07034156"/>
    <w:rsid w:val="070E6657"/>
    <w:rsid w:val="072D4D2F"/>
    <w:rsid w:val="073F4A62"/>
    <w:rsid w:val="07416A2C"/>
    <w:rsid w:val="07520C39"/>
    <w:rsid w:val="077741FC"/>
    <w:rsid w:val="077C7A64"/>
    <w:rsid w:val="077E37DC"/>
    <w:rsid w:val="078C4E56"/>
    <w:rsid w:val="07C05BA3"/>
    <w:rsid w:val="07E775D3"/>
    <w:rsid w:val="07F65A68"/>
    <w:rsid w:val="081E6D6D"/>
    <w:rsid w:val="08251EAA"/>
    <w:rsid w:val="082A5712"/>
    <w:rsid w:val="082F4AD6"/>
    <w:rsid w:val="0854453D"/>
    <w:rsid w:val="08591B53"/>
    <w:rsid w:val="085B58CB"/>
    <w:rsid w:val="085D5AE7"/>
    <w:rsid w:val="087F5A5E"/>
    <w:rsid w:val="089F1C5C"/>
    <w:rsid w:val="08AC6127"/>
    <w:rsid w:val="08C2594B"/>
    <w:rsid w:val="08C6368D"/>
    <w:rsid w:val="08F024B8"/>
    <w:rsid w:val="08FF6B9F"/>
    <w:rsid w:val="091E5277"/>
    <w:rsid w:val="09246605"/>
    <w:rsid w:val="0926412B"/>
    <w:rsid w:val="092D54BA"/>
    <w:rsid w:val="0932487E"/>
    <w:rsid w:val="09736C45"/>
    <w:rsid w:val="0978425B"/>
    <w:rsid w:val="09992B4F"/>
    <w:rsid w:val="09A432A2"/>
    <w:rsid w:val="09D04097"/>
    <w:rsid w:val="09D05E45"/>
    <w:rsid w:val="0A083831"/>
    <w:rsid w:val="0A0A57FB"/>
    <w:rsid w:val="0A1C72DC"/>
    <w:rsid w:val="0A2B3A7A"/>
    <w:rsid w:val="0A310FDA"/>
    <w:rsid w:val="0A3E54A5"/>
    <w:rsid w:val="0A5151D8"/>
    <w:rsid w:val="0AC7549A"/>
    <w:rsid w:val="0AD33E3F"/>
    <w:rsid w:val="0AE95411"/>
    <w:rsid w:val="0AF3003D"/>
    <w:rsid w:val="0AFD710E"/>
    <w:rsid w:val="0B015C42"/>
    <w:rsid w:val="0B093D05"/>
    <w:rsid w:val="0B0E131B"/>
    <w:rsid w:val="0B154457"/>
    <w:rsid w:val="0B3348DE"/>
    <w:rsid w:val="0B3D575C"/>
    <w:rsid w:val="0B470389"/>
    <w:rsid w:val="0B5D195B"/>
    <w:rsid w:val="0B867103"/>
    <w:rsid w:val="0BA23811"/>
    <w:rsid w:val="0BCB4B16"/>
    <w:rsid w:val="0C0149DC"/>
    <w:rsid w:val="0C0369A6"/>
    <w:rsid w:val="0C05627A"/>
    <w:rsid w:val="0C2A7A8F"/>
    <w:rsid w:val="0C2D57D1"/>
    <w:rsid w:val="0C3923C8"/>
    <w:rsid w:val="0C3D1EB8"/>
    <w:rsid w:val="0C6236CC"/>
    <w:rsid w:val="0C662A91"/>
    <w:rsid w:val="0CB35CD6"/>
    <w:rsid w:val="0CC46135"/>
    <w:rsid w:val="0CC7352F"/>
    <w:rsid w:val="0CDE6ACB"/>
    <w:rsid w:val="0D0E115E"/>
    <w:rsid w:val="0D156991"/>
    <w:rsid w:val="0D38442D"/>
    <w:rsid w:val="0D5F5E5E"/>
    <w:rsid w:val="0D847672"/>
    <w:rsid w:val="0D907DC5"/>
    <w:rsid w:val="0D9A50E8"/>
    <w:rsid w:val="0D9E6986"/>
    <w:rsid w:val="0DBC0BBA"/>
    <w:rsid w:val="0DC7755F"/>
    <w:rsid w:val="0DCE6B40"/>
    <w:rsid w:val="0DE14AC5"/>
    <w:rsid w:val="0E3A5F83"/>
    <w:rsid w:val="0E417312"/>
    <w:rsid w:val="0E5928AD"/>
    <w:rsid w:val="0E5E4367"/>
    <w:rsid w:val="0E6F3E7F"/>
    <w:rsid w:val="0E76520D"/>
    <w:rsid w:val="0E8A515C"/>
    <w:rsid w:val="0EC046DA"/>
    <w:rsid w:val="0ED4462A"/>
    <w:rsid w:val="0EDD528C"/>
    <w:rsid w:val="0F040A6B"/>
    <w:rsid w:val="0F3330FE"/>
    <w:rsid w:val="0F40581B"/>
    <w:rsid w:val="0F4B669A"/>
    <w:rsid w:val="0F6208A4"/>
    <w:rsid w:val="0F7B4AA5"/>
    <w:rsid w:val="0F841BAC"/>
    <w:rsid w:val="0F8C280E"/>
    <w:rsid w:val="0F9718DF"/>
    <w:rsid w:val="0F9C5147"/>
    <w:rsid w:val="0FB75ADD"/>
    <w:rsid w:val="0FC1070A"/>
    <w:rsid w:val="0FD86558"/>
    <w:rsid w:val="0FDA5C70"/>
    <w:rsid w:val="0FF26B15"/>
    <w:rsid w:val="0FF3288D"/>
    <w:rsid w:val="0FFA07FB"/>
    <w:rsid w:val="1034712E"/>
    <w:rsid w:val="10376C1E"/>
    <w:rsid w:val="103A04BC"/>
    <w:rsid w:val="1054157E"/>
    <w:rsid w:val="106612B1"/>
    <w:rsid w:val="10853E2D"/>
    <w:rsid w:val="10AF4A06"/>
    <w:rsid w:val="10C55FD8"/>
    <w:rsid w:val="10CF50A9"/>
    <w:rsid w:val="10DB3A4D"/>
    <w:rsid w:val="10E30B54"/>
    <w:rsid w:val="10EA0134"/>
    <w:rsid w:val="10F16DCD"/>
    <w:rsid w:val="10F92125"/>
    <w:rsid w:val="10FD7E68"/>
    <w:rsid w:val="112847B9"/>
    <w:rsid w:val="11494E5B"/>
    <w:rsid w:val="11627CCB"/>
    <w:rsid w:val="11673533"/>
    <w:rsid w:val="116C28F7"/>
    <w:rsid w:val="11963E18"/>
    <w:rsid w:val="11A402E3"/>
    <w:rsid w:val="11AE4CBE"/>
    <w:rsid w:val="11C12C43"/>
    <w:rsid w:val="11D010D8"/>
    <w:rsid w:val="11F8418B"/>
    <w:rsid w:val="122356AC"/>
    <w:rsid w:val="122D02D9"/>
    <w:rsid w:val="1246139A"/>
    <w:rsid w:val="124B4C03"/>
    <w:rsid w:val="126161D4"/>
    <w:rsid w:val="12745F08"/>
    <w:rsid w:val="127A7296"/>
    <w:rsid w:val="12802254"/>
    <w:rsid w:val="128A572B"/>
    <w:rsid w:val="129E2F84"/>
    <w:rsid w:val="12B409FA"/>
    <w:rsid w:val="12B5207C"/>
    <w:rsid w:val="12E34E3B"/>
    <w:rsid w:val="131D034D"/>
    <w:rsid w:val="134C478E"/>
    <w:rsid w:val="13645F7C"/>
    <w:rsid w:val="13743CE5"/>
    <w:rsid w:val="137E6912"/>
    <w:rsid w:val="13806B2E"/>
    <w:rsid w:val="13912AE9"/>
    <w:rsid w:val="13BD568C"/>
    <w:rsid w:val="13D36C5E"/>
    <w:rsid w:val="13E470BD"/>
    <w:rsid w:val="13EE3A98"/>
    <w:rsid w:val="141D612B"/>
    <w:rsid w:val="14771CDF"/>
    <w:rsid w:val="14887A48"/>
    <w:rsid w:val="14A5684C"/>
    <w:rsid w:val="14D302E6"/>
    <w:rsid w:val="14D62EA9"/>
    <w:rsid w:val="14E51FD5"/>
    <w:rsid w:val="152D05F0"/>
    <w:rsid w:val="15344AB2"/>
    <w:rsid w:val="15393438"/>
    <w:rsid w:val="153B0F5F"/>
    <w:rsid w:val="15451DDD"/>
    <w:rsid w:val="15610299"/>
    <w:rsid w:val="15791A87"/>
    <w:rsid w:val="15883A78"/>
    <w:rsid w:val="15995C85"/>
    <w:rsid w:val="15B8091F"/>
    <w:rsid w:val="15BA3249"/>
    <w:rsid w:val="15D078F9"/>
    <w:rsid w:val="160A26DF"/>
    <w:rsid w:val="1638549E"/>
    <w:rsid w:val="165A5414"/>
    <w:rsid w:val="1666200B"/>
    <w:rsid w:val="16946B78"/>
    <w:rsid w:val="16985F3D"/>
    <w:rsid w:val="16A448E1"/>
    <w:rsid w:val="16AB2114"/>
    <w:rsid w:val="16B34B25"/>
    <w:rsid w:val="16BF34C9"/>
    <w:rsid w:val="16EF2001"/>
    <w:rsid w:val="16F47617"/>
    <w:rsid w:val="16F5513D"/>
    <w:rsid w:val="16F72C63"/>
    <w:rsid w:val="16F92E7F"/>
    <w:rsid w:val="17011D34"/>
    <w:rsid w:val="170F26A3"/>
    <w:rsid w:val="171E6442"/>
    <w:rsid w:val="172872C1"/>
    <w:rsid w:val="172D0D7B"/>
    <w:rsid w:val="1743234C"/>
    <w:rsid w:val="17B108A0"/>
    <w:rsid w:val="17BE19D3"/>
    <w:rsid w:val="17CC2342"/>
    <w:rsid w:val="17D11706"/>
    <w:rsid w:val="17DA4A7D"/>
    <w:rsid w:val="18273A1C"/>
    <w:rsid w:val="18300F2C"/>
    <w:rsid w:val="18414ADE"/>
    <w:rsid w:val="184F61CB"/>
    <w:rsid w:val="185C36C6"/>
    <w:rsid w:val="186407CC"/>
    <w:rsid w:val="18982224"/>
    <w:rsid w:val="189D783A"/>
    <w:rsid w:val="18CE20EA"/>
    <w:rsid w:val="18E0295D"/>
    <w:rsid w:val="18E84F59"/>
    <w:rsid w:val="18EE62E8"/>
    <w:rsid w:val="18EF453A"/>
    <w:rsid w:val="18F25DD8"/>
    <w:rsid w:val="18F51424"/>
    <w:rsid w:val="1921046B"/>
    <w:rsid w:val="19622F5E"/>
    <w:rsid w:val="19630A84"/>
    <w:rsid w:val="19636CD6"/>
    <w:rsid w:val="19762565"/>
    <w:rsid w:val="198804EA"/>
    <w:rsid w:val="19960E59"/>
    <w:rsid w:val="19A215AC"/>
    <w:rsid w:val="19BD63E6"/>
    <w:rsid w:val="19C7635B"/>
    <w:rsid w:val="19D96F98"/>
    <w:rsid w:val="19F85670"/>
    <w:rsid w:val="19FD67E3"/>
    <w:rsid w:val="1A155BFB"/>
    <w:rsid w:val="1A295829"/>
    <w:rsid w:val="1A4E34E2"/>
    <w:rsid w:val="1A512FD2"/>
    <w:rsid w:val="1A613215"/>
    <w:rsid w:val="1A654388"/>
    <w:rsid w:val="1A6920CA"/>
    <w:rsid w:val="1A6A7BF0"/>
    <w:rsid w:val="1A78055F"/>
    <w:rsid w:val="1A954C6D"/>
    <w:rsid w:val="1AA03612"/>
    <w:rsid w:val="1AA41354"/>
    <w:rsid w:val="1AAB4490"/>
    <w:rsid w:val="1AAE21D3"/>
    <w:rsid w:val="1AC27A2C"/>
    <w:rsid w:val="1AC90DBB"/>
    <w:rsid w:val="1ADC0AEE"/>
    <w:rsid w:val="1AE23C2A"/>
    <w:rsid w:val="1AF57E02"/>
    <w:rsid w:val="1B083691"/>
    <w:rsid w:val="1B0D514B"/>
    <w:rsid w:val="1B124510"/>
    <w:rsid w:val="1B154000"/>
    <w:rsid w:val="1B244243"/>
    <w:rsid w:val="1B6507FC"/>
    <w:rsid w:val="1B811695"/>
    <w:rsid w:val="1B8A679C"/>
    <w:rsid w:val="1BC17CE4"/>
    <w:rsid w:val="1BCA4DEA"/>
    <w:rsid w:val="1BDE0896"/>
    <w:rsid w:val="1BF27E9D"/>
    <w:rsid w:val="1BF73705"/>
    <w:rsid w:val="1C033E58"/>
    <w:rsid w:val="1C166281"/>
    <w:rsid w:val="1C185B56"/>
    <w:rsid w:val="1C2A7637"/>
    <w:rsid w:val="1C3B5CE8"/>
    <w:rsid w:val="1C427076"/>
    <w:rsid w:val="1C7D00AF"/>
    <w:rsid w:val="1C821221"/>
    <w:rsid w:val="1C9378D2"/>
    <w:rsid w:val="1C9C6787"/>
    <w:rsid w:val="1CA4388D"/>
    <w:rsid w:val="1CA76EDA"/>
    <w:rsid w:val="1CB03FE0"/>
    <w:rsid w:val="1CB735C0"/>
    <w:rsid w:val="1CBF5FD1"/>
    <w:rsid w:val="1CD203FA"/>
    <w:rsid w:val="1CD37CCF"/>
    <w:rsid w:val="1CF06AD2"/>
    <w:rsid w:val="1D01483C"/>
    <w:rsid w:val="1D1207F7"/>
    <w:rsid w:val="1D1A58FD"/>
    <w:rsid w:val="1D37025D"/>
    <w:rsid w:val="1D6628F1"/>
    <w:rsid w:val="1D7E40DE"/>
    <w:rsid w:val="1D8D2573"/>
    <w:rsid w:val="1DE859FC"/>
    <w:rsid w:val="1DF93765"/>
    <w:rsid w:val="1E0A5972"/>
    <w:rsid w:val="1E2307E2"/>
    <w:rsid w:val="1E3B1FCF"/>
    <w:rsid w:val="1E562965"/>
    <w:rsid w:val="1E5906A7"/>
    <w:rsid w:val="1E6C2189"/>
    <w:rsid w:val="1E984D2C"/>
    <w:rsid w:val="1EA27958"/>
    <w:rsid w:val="1EA57449"/>
    <w:rsid w:val="1EBA64FA"/>
    <w:rsid w:val="1EC024D4"/>
    <w:rsid w:val="1ED3045A"/>
    <w:rsid w:val="1EEC32CA"/>
    <w:rsid w:val="1EEE0DF0"/>
    <w:rsid w:val="1EF36406"/>
    <w:rsid w:val="1EFF124F"/>
    <w:rsid w:val="1F0C74C8"/>
    <w:rsid w:val="1F106FB8"/>
    <w:rsid w:val="1F220A99"/>
    <w:rsid w:val="1F29007A"/>
    <w:rsid w:val="1F576995"/>
    <w:rsid w:val="1F5A0233"/>
    <w:rsid w:val="1F5C3FAB"/>
    <w:rsid w:val="1F5E5F75"/>
    <w:rsid w:val="1F5F3A9B"/>
    <w:rsid w:val="1F78690B"/>
    <w:rsid w:val="1F8B2AE2"/>
    <w:rsid w:val="1F941997"/>
    <w:rsid w:val="1F9C084C"/>
    <w:rsid w:val="1FAF67D1"/>
    <w:rsid w:val="1FCA53B9"/>
    <w:rsid w:val="1FD004F5"/>
    <w:rsid w:val="1FDA1374"/>
    <w:rsid w:val="1FDC6E9A"/>
    <w:rsid w:val="1FDE0E64"/>
    <w:rsid w:val="1FDE2C12"/>
    <w:rsid w:val="20174376"/>
    <w:rsid w:val="20191E9C"/>
    <w:rsid w:val="201C373B"/>
    <w:rsid w:val="20232D1B"/>
    <w:rsid w:val="203D202F"/>
    <w:rsid w:val="206155F1"/>
    <w:rsid w:val="20783067"/>
    <w:rsid w:val="20967991"/>
    <w:rsid w:val="20A26336"/>
    <w:rsid w:val="20B41BC5"/>
    <w:rsid w:val="20D44015"/>
    <w:rsid w:val="2112581E"/>
    <w:rsid w:val="2144119B"/>
    <w:rsid w:val="21577120"/>
    <w:rsid w:val="2164183D"/>
    <w:rsid w:val="217C6B87"/>
    <w:rsid w:val="219739C1"/>
    <w:rsid w:val="21A954A2"/>
    <w:rsid w:val="21AE2AB8"/>
    <w:rsid w:val="21C5052E"/>
    <w:rsid w:val="21CB366A"/>
    <w:rsid w:val="21E0250F"/>
    <w:rsid w:val="21F901D7"/>
    <w:rsid w:val="2208666C"/>
    <w:rsid w:val="22123047"/>
    <w:rsid w:val="22230DB0"/>
    <w:rsid w:val="22244B28"/>
    <w:rsid w:val="222642B1"/>
    <w:rsid w:val="22284619"/>
    <w:rsid w:val="223E3E3C"/>
    <w:rsid w:val="22477195"/>
    <w:rsid w:val="22603DB2"/>
    <w:rsid w:val="22673393"/>
    <w:rsid w:val="22682C67"/>
    <w:rsid w:val="22A2261D"/>
    <w:rsid w:val="22B8599C"/>
    <w:rsid w:val="22C205C9"/>
    <w:rsid w:val="22CA56D0"/>
    <w:rsid w:val="22CC769A"/>
    <w:rsid w:val="22D402FC"/>
    <w:rsid w:val="22E06CA1"/>
    <w:rsid w:val="22FD7853"/>
    <w:rsid w:val="2302130E"/>
    <w:rsid w:val="230C63BD"/>
    <w:rsid w:val="230C7A96"/>
    <w:rsid w:val="231177A3"/>
    <w:rsid w:val="23151041"/>
    <w:rsid w:val="2318468D"/>
    <w:rsid w:val="23203542"/>
    <w:rsid w:val="232B2612"/>
    <w:rsid w:val="232B669B"/>
    <w:rsid w:val="2358717F"/>
    <w:rsid w:val="237A0EA4"/>
    <w:rsid w:val="23860226"/>
    <w:rsid w:val="23A221A9"/>
    <w:rsid w:val="23A979DB"/>
    <w:rsid w:val="23C12F77"/>
    <w:rsid w:val="23E822B1"/>
    <w:rsid w:val="23EF693F"/>
    <w:rsid w:val="24042E63"/>
    <w:rsid w:val="24150BCD"/>
    <w:rsid w:val="24253506"/>
    <w:rsid w:val="243674C1"/>
    <w:rsid w:val="244D65B8"/>
    <w:rsid w:val="245416F5"/>
    <w:rsid w:val="247578BD"/>
    <w:rsid w:val="24816262"/>
    <w:rsid w:val="2490316E"/>
    <w:rsid w:val="249935AC"/>
    <w:rsid w:val="249B7324"/>
    <w:rsid w:val="249D12EE"/>
    <w:rsid w:val="24A26904"/>
    <w:rsid w:val="24A3267C"/>
    <w:rsid w:val="24A85EE5"/>
    <w:rsid w:val="24BD5B4E"/>
    <w:rsid w:val="24E567F1"/>
    <w:rsid w:val="24F44C86"/>
    <w:rsid w:val="24F536AF"/>
    <w:rsid w:val="250E5D48"/>
    <w:rsid w:val="2513335E"/>
    <w:rsid w:val="251610A0"/>
    <w:rsid w:val="255B6AB3"/>
    <w:rsid w:val="255D0A7D"/>
    <w:rsid w:val="256718FC"/>
    <w:rsid w:val="259D3570"/>
    <w:rsid w:val="25AC5561"/>
    <w:rsid w:val="25C7239A"/>
    <w:rsid w:val="25CD79B1"/>
    <w:rsid w:val="25E60A73"/>
    <w:rsid w:val="25E82A3D"/>
    <w:rsid w:val="25EC3BAF"/>
    <w:rsid w:val="25F018F1"/>
    <w:rsid w:val="25F71FD8"/>
    <w:rsid w:val="25F74A2E"/>
    <w:rsid w:val="25FF1B34"/>
    <w:rsid w:val="260D24A3"/>
    <w:rsid w:val="26233A75"/>
    <w:rsid w:val="2624159B"/>
    <w:rsid w:val="26502390"/>
    <w:rsid w:val="265E4AAD"/>
    <w:rsid w:val="26600825"/>
    <w:rsid w:val="26804A23"/>
    <w:rsid w:val="2685028B"/>
    <w:rsid w:val="26881B2A"/>
    <w:rsid w:val="268D0EEE"/>
    <w:rsid w:val="269B3EDF"/>
    <w:rsid w:val="269E134D"/>
    <w:rsid w:val="26AD0F6F"/>
    <w:rsid w:val="26B75F6B"/>
    <w:rsid w:val="26E56F7C"/>
    <w:rsid w:val="26F471BF"/>
    <w:rsid w:val="26F856A3"/>
    <w:rsid w:val="26FC6074"/>
    <w:rsid w:val="270F3FF9"/>
    <w:rsid w:val="27133AE9"/>
    <w:rsid w:val="271B0BF0"/>
    <w:rsid w:val="27231852"/>
    <w:rsid w:val="272F01F7"/>
    <w:rsid w:val="27321A96"/>
    <w:rsid w:val="27565784"/>
    <w:rsid w:val="276C31F9"/>
    <w:rsid w:val="277420AE"/>
    <w:rsid w:val="2778394C"/>
    <w:rsid w:val="277A5916"/>
    <w:rsid w:val="278E13C2"/>
    <w:rsid w:val="27BF77CD"/>
    <w:rsid w:val="27C43035"/>
    <w:rsid w:val="27F8683B"/>
    <w:rsid w:val="28302479"/>
    <w:rsid w:val="2858552C"/>
    <w:rsid w:val="285A5748"/>
    <w:rsid w:val="285C501C"/>
    <w:rsid w:val="285E6FE6"/>
    <w:rsid w:val="2862574B"/>
    <w:rsid w:val="28773C04"/>
    <w:rsid w:val="2899001E"/>
    <w:rsid w:val="28AA222B"/>
    <w:rsid w:val="28C3509B"/>
    <w:rsid w:val="28C606E7"/>
    <w:rsid w:val="28ED3EC6"/>
    <w:rsid w:val="28F416F8"/>
    <w:rsid w:val="28FD67FF"/>
    <w:rsid w:val="29003BF9"/>
    <w:rsid w:val="29017971"/>
    <w:rsid w:val="2916341D"/>
    <w:rsid w:val="294855A0"/>
    <w:rsid w:val="297E78FF"/>
    <w:rsid w:val="29B669AE"/>
    <w:rsid w:val="29C015DB"/>
    <w:rsid w:val="29C56BF1"/>
    <w:rsid w:val="29CE1F49"/>
    <w:rsid w:val="29F00112"/>
    <w:rsid w:val="2A263B34"/>
    <w:rsid w:val="2A3F0751"/>
    <w:rsid w:val="2A53244F"/>
    <w:rsid w:val="2A5C57A7"/>
    <w:rsid w:val="2A7725E1"/>
    <w:rsid w:val="2A7E3970"/>
    <w:rsid w:val="2A8D5961"/>
    <w:rsid w:val="2A946CEF"/>
    <w:rsid w:val="2AB729DE"/>
    <w:rsid w:val="2ACA2711"/>
    <w:rsid w:val="2AD43590"/>
    <w:rsid w:val="2AD92954"/>
    <w:rsid w:val="2AEA4B61"/>
    <w:rsid w:val="2B157704"/>
    <w:rsid w:val="2B361B54"/>
    <w:rsid w:val="2B710DDE"/>
    <w:rsid w:val="2B8D373E"/>
    <w:rsid w:val="2BA47406"/>
    <w:rsid w:val="2BB1567F"/>
    <w:rsid w:val="2BCC766D"/>
    <w:rsid w:val="2C0003B4"/>
    <w:rsid w:val="2C1D2D14"/>
    <w:rsid w:val="2C3F712F"/>
    <w:rsid w:val="2C534988"/>
    <w:rsid w:val="2C536736"/>
    <w:rsid w:val="2C701096"/>
    <w:rsid w:val="2C7A3CC3"/>
    <w:rsid w:val="2C7F577D"/>
    <w:rsid w:val="2C8608B9"/>
    <w:rsid w:val="2C974875"/>
    <w:rsid w:val="2CBA4A07"/>
    <w:rsid w:val="2CBF5B79"/>
    <w:rsid w:val="2CD930DF"/>
    <w:rsid w:val="2CDE24A4"/>
    <w:rsid w:val="2CDF446E"/>
    <w:rsid w:val="2CE61358"/>
    <w:rsid w:val="2CFF2E26"/>
    <w:rsid w:val="2D200D0E"/>
    <w:rsid w:val="2D287BC3"/>
    <w:rsid w:val="2D60735C"/>
    <w:rsid w:val="2D8E211C"/>
    <w:rsid w:val="2D9B0395"/>
    <w:rsid w:val="2DA01E4F"/>
    <w:rsid w:val="2DA336ED"/>
    <w:rsid w:val="2DB651CE"/>
    <w:rsid w:val="2DBB27E5"/>
    <w:rsid w:val="2DCF6290"/>
    <w:rsid w:val="2DD45655"/>
    <w:rsid w:val="2DE51610"/>
    <w:rsid w:val="2DFC4A67"/>
    <w:rsid w:val="2E0979F4"/>
    <w:rsid w:val="2E0A551A"/>
    <w:rsid w:val="2E1343CF"/>
    <w:rsid w:val="2E2C36E3"/>
    <w:rsid w:val="2E3D144C"/>
    <w:rsid w:val="2E56250D"/>
    <w:rsid w:val="2E5D564A"/>
    <w:rsid w:val="2E6469D8"/>
    <w:rsid w:val="2E6966E5"/>
    <w:rsid w:val="2E7806D6"/>
    <w:rsid w:val="2E7C01C6"/>
    <w:rsid w:val="2E7C6418"/>
    <w:rsid w:val="2E921798"/>
    <w:rsid w:val="2E954DE4"/>
    <w:rsid w:val="2EA63495"/>
    <w:rsid w:val="2EA9088F"/>
    <w:rsid w:val="2EAB4607"/>
    <w:rsid w:val="2EC67693"/>
    <w:rsid w:val="2EE87609"/>
    <w:rsid w:val="2EEB534C"/>
    <w:rsid w:val="2EFA733D"/>
    <w:rsid w:val="2F1E127D"/>
    <w:rsid w:val="2F261EE0"/>
    <w:rsid w:val="2F2A7C22"/>
    <w:rsid w:val="2F2B5748"/>
    <w:rsid w:val="2F307202"/>
    <w:rsid w:val="2F436F36"/>
    <w:rsid w:val="2F4A3E20"/>
    <w:rsid w:val="2F762E67"/>
    <w:rsid w:val="2F7B222C"/>
    <w:rsid w:val="2F80443D"/>
    <w:rsid w:val="2F8052DC"/>
    <w:rsid w:val="2F9037FD"/>
    <w:rsid w:val="2F9C03F4"/>
    <w:rsid w:val="2FA774C5"/>
    <w:rsid w:val="2FAF1ED5"/>
    <w:rsid w:val="2FB76FDC"/>
    <w:rsid w:val="2FC55B9D"/>
    <w:rsid w:val="2FCA4F61"/>
    <w:rsid w:val="2FCC2A87"/>
    <w:rsid w:val="2FD8767E"/>
    <w:rsid w:val="2FDE0A0C"/>
    <w:rsid w:val="2FE029D7"/>
    <w:rsid w:val="2FE51D9B"/>
    <w:rsid w:val="2FEE50F3"/>
    <w:rsid w:val="2FF26266"/>
    <w:rsid w:val="2FF63FA8"/>
    <w:rsid w:val="30000983"/>
    <w:rsid w:val="3002294D"/>
    <w:rsid w:val="30077F63"/>
    <w:rsid w:val="30204B81"/>
    <w:rsid w:val="302C5C1C"/>
    <w:rsid w:val="303B7C0D"/>
    <w:rsid w:val="30450A8C"/>
    <w:rsid w:val="309C4B4F"/>
    <w:rsid w:val="30AD0B0B"/>
    <w:rsid w:val="30B05F05"/>
    <w:rsid w:val="30E325C9"/>
    <w:rsid w:val="30E958BB"/>
    <w:rsid w:val="30E97669"/>
    <w:rsid w:val="311961A0"/>
    <w:rsid w:val="311C7A3E"/>
    <w:rsid w:val="311F752F"/>
    <w:rsid w:val="31413001"/>
    <w:rsid w:val="31682C84"/>
    <w:rsid w:val="316C7818"/>
    <w:rsid w:val="317A6513"/>
    <w:rsid w:val="3183186B"/>
    <w:rsid w:val="31945827"/>
    <w:rsid w:val="31A83080"/>
    <w:rsid w:val="31AF440F"/>
    <w:rsid w:val="31B22151"/>
    <w:rsid w:val="31B23EFF"/>
    <w:rsid w:val="31B5437A"/>
    <w:rsid w:val="31B9528D"/>
    <w:rsid w:val="31C51E84"/>
    <w:rsid w:val="31D2634F"/>
    <w:rsid w:val="31E542D4"/>
    <w:rsid w:val="31EC7411"/>
    <w:rsid w:val="32186458"/>
    <w:rsid w:val="3239599B"/>
    <w:rsid w:val="323D1A1A"/>
    <w:rsid w:val="32476D3D"/>
    <w:rsid w:val="324A2389"/>
    <w:rsid w:val="325F5E35"/>
    <w:rsid w:val="32700042"/>
    <w:rsid w:val="32894C60"/>
    <w:rsid w:val="32943604"/>
    <w:rsid w:val="329F4483"/>
    <w:rsid w:val="32AE46C6"/>
    <w:rsid w:val="32B617CD"/>
    <w:rsid w:val="32BF68D3"/>
    <w:rsid w:val="32C20171"/>
    <w:rsid w:val="32C57C62"/>
    <w:rsid w:val="32DF0D23"/>
    <w:rsid w:val="33182487"/>
    <w:rsid w:val="331D184C"/>
    <w:rsid w:val="331F3816"/>
    <w:rsid w:val="33266952"/>
    <w:rsid w:val="332D7CE1"/>
    <w:rsid w:val="3341378C"/>
    <w:rsid w:val="334E7C57"/>
    <w:rsid w:val="33633703"/>
    <w:rsid w:val="33A1247D"/>
    <w:rsid w:val="33B421B0"/>
    <w:rsid w:val="33E34843"/>
    <w:rsid w:val="33E365F1"/>
    <w:rsid w:val="340842AA"/>
    <w:rsid w:val="341B222F"/>
    <w:rsid w:val="341B5D8B"/>
    <w:rsid w:val="34256C0A"/>
    <w:rsid w:val="344D5B7A"/>
    <w:rsid w:val="34515C51"/>
    <w:rsid w:val="347831DE"/>
    <w:rsid w:val="34897199"/>
    <w:rsid w:val="349D2C44"/>
    <w:rsid w:val="34A044E2"/>
    <w:rsid w:val="34C74165"/>
    <w:rsid w:val="352B64A2"/>
    <w:rsid w:val="35335357"/>
    <w:rsid w:val="353C0AE6"/>
    <w:rsid w:val="3542559A"/>
    <w:rsid w:val="354457B6"/>
    <w:rsid w:val="35494B7A"/>
    <w:rsid w:val="3569521C"/>
    <w:rsid w:val="357E0CC8"/>
    <w:rsid w:val="358362DE"/>
    <w:rsid w:val="35A41DB0"/>
    <w:rsid w:val="35AD5109"/>
    <w:rsid w:val="35B93AAE"/>
    <w:rsid w:val="35BB5A78"/>
    <w:rsid w:val="35C16E06"/>
    <w:rsid w:val="35D24B6F"/>
    <w:rsid w:val="35E87EEF"/>
    <w:rsid w:val="35E93C67"/>
    <w:rsid w:val="35EF5721"/>
    <w:rsid w:val="35F5260C"/>
    <w:rsid w:val="35F920FC"/>
    <w:rsid w:val="35FE7713"/>
    <w:rsid w:val="361B02C4"/>
    <w:rsid w:val="36260A17"/>
    <w:rsid w:val="365732C7"/>
    <w:rsid w:val="366C6D72"/>
    <w:rsid w:val="369167D9"/>
    <w:rsid w:val="37215DAE"/>
    <w:rsid w:val="372C6501"/>
    <w:rsid w:val="37362EDC"/>
    <w:rsid w:val="37500442"/>
    <w:rsid w:val="375A306E"/>
    <w:rsid w:val="375D66BB"/>
    <w:rsid w:val="37643EED"/>
    <w:rsid w:val="37753A04"/>
    <w:rsid w:val="377C2FE5"/>
    <w:rsid w:val="379876F3"/>
    <w:rsid w:val="379C71E3"/>
    <w:rsid w:val="37B95FE7"/>
    <w:rsid w:val="37FE39FA"/>
    <w:rsid w:val="38207E14"/>
    <w:rsid w:val="38237904"/>
    <w:rsid w:val="382C7DBF"/>
    <w:rsid w:val="38341B11"/>
    <w:rsid w:val="3834566E"/>
    <w:rsid w:val="38390ED6"/>
    <w:rsid w:val="38392C84"/>
    <w:rsid w:val="383C4522"/>
    <w:rsid w:val="3843438D"/>
    <w:rsid w:val="384B0C09"/>
    <w:rsid w:val="384D3CF2"/>
    <w:rsid w:val="385E093C"/>
    <w:rsid w:val="386A108F"/>
    <w:rsid w:val="3894610C"/>
    <w:rsid w:val="38C34C43"/>
    <w:rsid w:val="38CC7F9C"/>
    <w:rsid w:val="38E2156D"/>
    <w:rsid w:val="38FB618B"/>
    <w:rsid w:val="38FE5445"/>
    <w:rsid w:val="39050DB8"/>
    <w:rsid w:val="39167469"/>
    <w:rsid w:val="3922196A"/>
    <w:rsid w:val="3942200C"/>
    <w:rsid w:val="39665CFB"/>
    <w:rsid w:val="39673821"/>
    <w:rsid w:val="398268AC"/>
    <w:rsid w:val="39842625"/>
    <w:rsid w:val="398E6FFF"/>
    <w:rsid w:val="39904B26"/>
    <w:rsid w:val="39932868"/>
    <w:rsid w:val="399D7242"/>
    <w:rsid w:val="39A14F85"/>
    <w:rsid w:val="39B90520"/>
    <w:rsid w:val="39C173D5"/>
    <w:rsid w:val="39ED01CA"/>
    <w:rsid w:val="39FC040D"/>
    <w:rsid w:val="3A035FFF"/>
    <w:rsid w:val="3A045513"/>
    <w:rsid w:val="3A15327D"/>
    <w:rsid w:val="3A335D0B"/>
    <w:rsid w:val="3A414072"/>
    <w:rsid w:val="3A43428E"/>
    <w:rsid w:val="3A52627F"/>
    <w:rsid w:val="3A9E3272"/>
    <w:rsid w:val="3AA50AA5"/>
    <w:rsid w:val="3AC3717D"/>
    <w:rsid w:val="3AE35129"/>
    <w:rsid w:val="3B0A0908"/>
    <w:rsid w:val="3B0C0B24"/>
    <w:rsid w:val="3B0E664A"/>
    <w:rsid w:val="3B141786"/>
    <w:rsid w:val="3B253993"/>
    <w:rsid w:val="3B3E153E"/>
    <w:rsid w:val="3B491430"/>
    <w:rsid w:val="3B5D312D"/>
    <w:rsid w:val="3B8701AA"/>
    <w:rsid w:val="3B8B7C9A"/>
    <w:rsid w:val="3B936B4F"/>
    <w:rsid w:val="3B950B19"/>
    <w:rsid w:val="3BC1546A"/>
    <w:rsid w:val="3BCE7B87"/>
    <w:rsid w:val="3C074E47"/>
    <w:rsid w:val="3C0D6901"/>
    <w:rsid w:val="3C153A08"/>
    <w:rsid w:val="3C1C54DF"/>
    <w:rsid w:val="3C642299"/>
    <w:rsid w:val="3C8C3EC0"/>
    <w:rsid w:val="3C991F43"/>
    <w:rsid w:val="3C9A5CBB"/>
    <w:rsid w:val="3C9A7F2E"/>
    <w:rsid w:val="3CA60B04"/>
    <w:rsid w:val="3CB60D47"/>
    <w:rsid w:val="3CB966DD"/>
    <w:rsid w:val="3CC50F8A"/>
    <w:rsid w:val="3CDC62D4"/>
    <w:rsid w:val="3CF11D7F"/>
    <w:rsid w:val="3CFA36D9"/>
    <w:rsid w:val="3D0715A3"/>
    <w:rsid w:val="3D121CF5"/>
    <w:rsid w:val="3D2739F3"/>
    <w:rsid w:val="3D6562C9"/>
    <w:rsid w:val="3D7309E6"/>
    <w:rsid w:val="3D7D3613"/>
    <w:rsid w:val="3D8E5820"/>
    <w:rsid w:val="3DB50FFF"/>
    <w:rsid w:val="3DD97882"/>
    <w:rsid w:val="3DE03BA2"/>
    <w:rsid w:val="3DE2791A"/>
    <w:rsid w:val="3E483C21"/>
    <w:rsid w:val="3E5D51F2"/>
    <w:rsid w:val="3E6B790F"/>
    <w:rsid w:val="3E846C23"/>
    <w:rsid w:val="3E970704"/>
    <w:rsid w:val="3E9926CE"/>
    <w:rsid w:val="3E9E1A93"/>
    <w:rsid w:val="3EA370A9"/>
    <w:rsid w:val="3EB2553E"/>
    <w:rsid w:val="3EB5502E"/>
    <w:rsid w:val="3EB63280"/>
    <w:rsid w:val="3EB70DA6"/>
    <w:rsid w:val="3ECA2888"/>
    <w:rsid w:val="3ED03C16"/>
    <w:rsid w:val="3EE14075"/>
    <w:rsid w:val="3EEA117C"/>
    <w:rsid w:val="3EED2A1A"/>
    <w:rsid w:val="3EFB5137"/>
    <w:rsid w:val="3F005C17"/>
    <w:rsid w:val="3F161F71"/>
    <w:rsid w:val="3F7647BE"/>
    <w:rsid w:val="3FE07E89"/>
    <w:rsid w:val="40210BCD"/>
    <w:rsid w:val="402406BD"/>
    <w:rsid w:val="40291830"/>
    <w:rsid w:val="404E573A"/>
    <w:rsid w:val="40512B35"/>
    <w:rsid w:val="407927B7"/>
    <w:rsid w:val="407A208B"/>
    <w:rsid w:val="408B24EB"/>
    <w:rsid w:val="40A315E2"/>
    <w:rsid w:val="40BE01CA"/>
    <w:rsid w:val="40C94DC1"/>
    <w:rsid w:val="40CB28E7"/>
    <w:rsid w:val="40CF0629"/>
    <w:rsid w:val="40D043A1"/>
    <w:rsid w:val="40E045E4"/>
    <w:rsid w:val="40E1210B"/>
    <w:rsid w:val="40E8793D"/>
    <w:rsid w:val="40F97454"/>
    <w:rsid w:val="40FC6C8E"/>
    <w:rsid w:val="41004C87"/>
    <w:rsid w:val="41083B3B"/>
    <w:rsid w:val="41197AF6"/>
    <w:rsid w:val="41270465"/>
    <w:rsid w:val="412F10C8"/>
    <w:rsid w:val="41434B73"/>
    <w:rsid w:val="41630D72"/>
    <w:rsid w:val="41727207"/>
    <w:rsid w:val="417E3DFD"/>
    <w:rsid w:val="418331C2"/>
    <w:rsid w:val="41856F3A"/>
    <w:rsid w:val="41BB295C"/>
    <w:rsid w:val="41EE0F83"/>
    <w:rsid w:val="4214206C"/>
    <w:rsid w:val="421F113C"/>
    <w:rsid w:val="42442951"/>
    <w:rsid w:val="42664FBD"/>
    <w:rsid w:val="426C3C56"/>
    <w:rsid w:val="427447C8"/>
    <w:rsid w:val="42862F6A"/>
    <w:rsid w:val="4290203A"/>
    <w:rsid w:val="429733C9"/>
    <w:rsid w:val="42984A4B"/>
    <w:rsid w:val="42A258CA"/>
    <w:rsid w:val="42A31D6D"/>
    <w:rsid w:val="42DC0DDB"/>
    <w:rsid w:val="42F51E9D"/>
    <w:rsid w:val="430F2F5F"/>
    <w:rsid w:val="43282273"/>
    <w:rsid w:val="43370708"/>
    <w:rsid w:val="433B01F8"/>
    <w:rsid w:val="434075BC"/>
    <w:rsid w:val="43430E5B"/>
    <w:rsid w:val="4352109E"/>
    <w:rsid w:val="4374370A"/>
    <w:rsid w:val="43770B04"/>
    <w:rsid w:val="43805C0B"/>
    <w:rsid w:val="439B2A45"/>
    <w:rsid w:val="43AA0EDA"/>
    <w:rsid w:val="43E22422"/>
    <w:rsid w:val="44004F9E"/>
    <w:rsid w:val="44056110"/>
    <w:rsid w:val="44150A49"/>
    <w:rsid w:val="442B201A"/>
    <w:rsid w:val="44446C38"/>
    <w:rsid w:val="445826E4"/>
    <w:rsid w:val="44613C8E"/>
    <w:rsid w:val="447275EF"/>
    <w:rsid w:val="447C0AC8"/>
    <w:rsid w:val="448B2315"/>
    <w:rsid w:val="44A27E03"/>
    <w:rsid w:val="44A30901"/>
    <w:rsid w:val="44A973E3"/>
    <w:rsid w:val="44BC0EC5"/>
    <w:rsid w:val="44C164DB"/>
    <w:rsid w:val="44D37FBC"/>
    <w:rsid w:val="44DC1567"/>
    <w:rsid w:val="45126D36"/>
    <w:rsid w:val="451F3201"/>
    <w:rsid w:val="452D1DC2"/>
    <w:rsid w:val="45464C32"/>
    <w:rsid w:val="45592BB7"/>
    <w:rsid w:val="45681D3D"/>
    <w:rsid w:val="457B0D80"/>
    <w:rsid w:val="458D2861"/>
    <w:rsid w:val="45A656D1"/>
    <w:rsid w:val="45AF0A29"/>
    <w:rsid w:val="45B778DE"/>
    <w:rsid w:val="45D65FB6"/>
    <w:rsid w:val="45DD5596"/>
    <w:rsid w:val="45EA380F"/>
    <w:rsid w:val="45F36B68"/>
    <w:rsid w:val="460743C1"/>
    <w:rsid w:val="46192347"/>
    <w:rsid w:val="461A0599"/>
    <w:rsid w:val="46244F73"/>
    <w:rsid w:val="464E3D9E"/>
    <w:rsid w:val="46537607"/>
    <w:rsid w:val="466730B2"/>
    <w:rsid w:val="46761547"/>
    <w:rsid w:val="46955E71"/>
    <w:rsid w:val="46A75BA4"/>
    <w:rsid w:val="46EE5581"/>
    <w:rsid w:val="46FA5CD4"/>
    <w:rsid w:val="47044DA5"/>
    <w:rsid w:val="472E3BD0"/>
    <w:rsid w:val="473C009B"/>
    <w:rsid w:val="47431429"/>
    <w:rsid w:val="474653BD"/>
    <w:rsid w:val="476870E2"/>
    <w:rsid w:val="477535AD"/>
    <w:rsid w:val="47881532"/>
    <w:rsid w:val="479A3013"/>
    <w:rsid w:val="47A3011A"/>
    <w:rsid w:val="47AB5220"/>
    <w:rsid w:val="47B9793D"/>
    <w:rsid w:val="47DB5B06"/>
    <w:rsid w:val="47DD7AD0"/>
    <w:rsid w:val="48027536"/>
    <w:rsid w:val="480C2163"/>
    <w:rsid w:val="48311BC9"/>
    <w:rsid w:val="483376F0"/>
    <w:rsid w:val="483B65A4"/>
    <w:rsid w:val="484511D1"/>
    <w:rsid w:val="484F2050"/>
    <w:rsid w:val="48587156"/>
    <w:rsid w:val="487321E2"/>
    <w:rsid w:val="48757D08"/>
    <w:rsid w:val="48783354"/>
    <w:rsid w:val="487B1097"/>
    <w:rsid w:val="48A95C04"/>
    <w:rsid w:val="48B51F0F"/>
    <w:rsid w:val="48B545A9"/>
    <w:rsid w:val="48B56357"/>
    <w:rsid w:val="48BC5937"/>
    <w:rsid w:val="48BF5427"/>
    <w:rsid w:val="48CE11C6"/>
    <w:rsid w:val="48D03190"/>
    <w:rsid w:val="48F52BF7"/>
    <w:rsid w:val="490B241B"/>
    <w:rsid w:val="490E1F0B"/>
    <w:rsid w:val="4944592C"/>
    <w:rsid w:val="49455ADF"/>
    <w:rsid w:val="495C4A24"/>
    <w:rsid w:val="4961203A"/>
    <w:rsid w:val="49663AF5"/>
    <w:rsid w:val="496E4757"/>
    <w:rsid w:val="4981092F"/>
    <w:rsid w:val="499248EA"/>
    <w:rsid w:val="49975A5C"/>
    <w:rsid w:val="499A554C"/>
    <w:rsid w:val="49D767A1"/>
    <w:rsid w:val="49ED7D72"/>
    <w:rsid w:val="4A08695A"/>
    <w:rsid w:val="4A0D21C2"/>
    <w:rsid w:val="4A111CB3"/>
    <w:rsid w:val="4A1B668D"/>
    <w:rsid w:val="4A315EB1"/>
    <w:rsid w:val="4A372D9B"/>
    <w:rsid w:val="4A510301"/>
    <w:rsid w:val="4A622D9E"/>
    <w:rsid w:val="4A6718D3"/>
    <w:rsid w:val="4A6E2C61"/>
    <w:rsid w:val="4A6F4C2B"/>
    <w:rsid w:val="4A712751"/>
    <w:rsid w:val="4A7933B4"/>
    <w:rsid w:val="4A871F75"/>
    <w:rsid w:val="4AC76815"/>
    <w:rsid w:val="4AD056CA"/>
    <w:rsid w:val="4ADD1B95"/>
    <w:rsid w:val="4ADF590D"/>
    <w:rsid w:val="4AE50A49"/>
    <w:rsid w:val="4AE83716"/>
    <w:rsid w:val="4AF40C8C"/>
    <w:rsid w:val="4B06733D"/>
    <w:rsid w:val="4B094738"/>
    <w:rsid w:val="4B5300A9"/>
    <w:rsid w:val="4B63653E"/>
    <w:rsid w:val="4B6D116B"/>
    <w:rsid w:val="4B810772"/>
    <w:rsid w:val="4BB5666E"/>
    <w:rsid w:val="4BC845F3"/>
    <w:rsid w:val="4BCD1C09"/>
    <w:rsid w:val="4BE13907"/>
    <w:rsid w:val="4BE86A43"/>
    <w:rsid w:val="4BFC604B"/>
    <w:rsid w:val="4C1C049B"/>
    <w:rsid w:val="4C343A36"/>
    <w:rsid w:val="4C35155C"/>
    <w:rsid w:val="4C3C0B3D"/>
    <w:rsid w:val="4C3D6D8F"/>
    <w:rsid w:val="4C5639AD"/>
    <w:rsid w:val="4C570E65"/>
    <w:rsid w:val="4C612351"/>
    <w:rsid w:val="4C804ECE"/>
    <w:rsid w:val="4C942727"/>
    <w:rsid w:val="4C9B5863"/>
    <w:rsid w:val="4C9F445C"/>
    <w:rsid w:val="4CA46E0E"/>
    <w:rsid w:val="4CAC181F"/>
    <w:rsid w:val="4CBD3A2C"/>
    <w:rsid w:val="4CC53FEA"/>
    <w:rsid w:val="4CD15729"/>
    <w:rsid w:val="4CF17B79"/>
    <w:rsid w:val="4D1A0E7E"/>
    <w:rsid w:val="4D73233C"/>
    <w:rsid w:val="4D7A7B6F"/>
    <w:rsid w:val="4D7C38E7"/>
    <w:rsid w:val="4D930C30"/>
    <w:rsid w:val="4D9C1893"/>
    <w:rsid w:val="4DB12E65"/>
    <w:rsid w:val="4DC66910"/>
    <w:rsid w:val="4DC808DA"/>
    <w:rsid w:val="4DC96400"/>
    <w:rsid w:val="4DE80F7C"/>
    <w:rsid w:val="4DEB45C9"/>
    <w:rsid w:val="4DED0341"/>
    <w:rsid w:val="4DF74D1B"/>
    <w:rsid w:val="4E0B07C7"/>
    <w:rsid w:val="4E0C6088"/>
    <w:rsid w:val="4E1E499E"/>
    <w:rsid w:val="4E434405"/>
    <w:rsid w:val="4E683E6B"/>
    <w:rsid w:val="4E984750"/>
    <w:rsid w:val="4EA31605"/>
    <w:rsid w:val="4EAF55F6"/>
    <w:rsid w:val="4ECC7F56"/>
    <w:rsid w:val="4ED212E5"/>
    <w:rsid w:val="4EDB63EB"/>
    <w:rsid w:val="4EF83441"/>
    <w:rsid w:val="4F102A1D"/>
    <w:rsid w:val="4F18763F"/>
    <w:rsid w:val="4F196F13"/>
    <w:rsid w:val="4F231B40"/>
    <w:rsid w:val="4F334479"/>
    <w:rsid w:val="4F55619D"/>
    <w:rsid w:val="4F563CC4"/>
    <w:rsid w:val="4F585C8E"/>
    <w:rsid w:val="4F7F76BE"/>
    <w:rsid w:val="4F895E47"/>
    <w:rsid w:val="4F905428"/>
    <w:rsid w:val="4F974A08"/>
    <w:rsid w:val="4FAB2261"/>
    <w:rsid w:val="4FBA24A4"/>
    <w:rsid w:val="4FDB1E13"/>
    <w:rsid w:val="5006393C"/>
    <w:rsid w:val="500B0F52"/>
    <w:rsid w:val="500E459E"/>
    <w:rsid w:val="500F0A42"/>
    <w:rsid w:val="50371D47"/>
    <w:rsid w:val="503E30D6"/>
    <w:rsid w:val="50591CBD"/>
    <w:rsid w:val="506863A4"/>
    <w:rsid w:val="506F14E1"/>
    <w:rsid w:val="50724B2D"/>
    <w:rsid w:val="50A13664"/>
    <w:rsid w:val="50A53155"/>
    <w:rsid w:val="50BE7D72"/>
    <w:rsid w:val="50C35389"/>
    <w:rsid w:val="50DB0924"/>
    <w:rsid w:val="50E579F5"/>
    <w:rsid w:val="50F16D32"/>
    <w:rsid w:val="511931FB"/>
    <w:rsid w:val="511B6F73"/>
    <w:rsid w:val="511E6A63"/>
    <w:rsid w:val="512D6CA6"/>
    <w:rsid w:val="514B5A73"/>
    <w:rsid w:val="514C35D0"/>
    <w:rsid w:val="51600E2A"/>
    <w:rsid w:val="516C5A20"/>
    <w:rsid w:val="51825244"/>
    <w:rsid w:val="5187285A"/>
    <w:rsid w:val="51BA678C"/>
    <w:rsid w:val="52157E66"/>
    <w:rsid w:val="522956BF"/>
    <w:rsid w:val="52497B10"/>
    <w:rsid w:val="5253273C"/>
    <w:rsid w:val="5257222D"/>
    <w:rsid w:val="525A1D1D"/>
    <w:rsid w:val="526151B7"/>
    <w:rsid w:val="526861E8"/>
    <w:rsid w:val="52BC29D7"/>
    <w:rsid w:val="52CA6EA2"/>
    <w:rsid w:val="52F65EE9"/>
    <w:rsid w:val="53114AD1"/>
    <w:rsid w:val="531C6FD2"/>
    <w:rsid w:val="532742F5"/>
    <w:rsid w:val="538C5F06"/>
    <w:rsid w:val="53A21BCD"/>
    <w:rsid w:val="53A25729"/>
    <w:rsid w:val="53BA6F17"/>
    <w:rsid w:val="53F57F4F"/>
    <w:rsid w:val="53FF492A"/>
    <w:rsid w:val="540B32CF"/>
    <w:rsid w:val="541A79B6"/>
    <w:rsid w:val="545110D1"/>
    <w:rsid w:val="545253A1"/>
    <w:rsid w:val="54554E92"/>
    <w:rsid w:val="54613836"/>
    <w:rsid w:val="54752E3E"/>
    <w:rsid w:val="54817A35"/>
    <w:rsid w:val="548337AD"/>
    <w:rsid w:val="54890697"/>
    <w:rsid w:val="54C65448"/>
    <w:rsid w:val="54E56216"/>
    <w:rsid w:val="54FE1085"/>
    <w:rsid w:val="550B72FE"/>
    <w:rsid w:val="55214D74"/>
    <w:rsid w:val="555B2034"/>
    <w:rsid w:val="55630EE8"/>
    <w:rsid w:val="55711857"/>
    <w:rsid w:val="558275C0"/>
    <w:rsid w:val="558A46C7"/>
    <w:rsid w:val="55943798"/>
    <w:rsid w:val="55A7171D"/>
    <w:rsid w:val="55BD2CEE"/>
    <w:rsid w:val="55EF09CE"/>
    <w:rsid w:val="55F85AD5"/>
    <w:rsid w:val="561D19DF"/>
    <w:rsid w:val="5621502B"/>
    <w:rsid w:val="56260894"/>
    <w:rsid w:val="56332FB1"/>
    <w:rsid w:val="56486A5C"/>
    <w:rsid w:val="565C6063"/>
    <w:rsid w:val="56660C90"/>
    <w:rsid w:val="56900292"/>
    <w:rsid w:val="569F41A2"/>
    <w:rsid w:val="56B45E9F"/>
    <w:rsid w:val="56BE0ACC"/>
    <w:rsid w:val="56C1236A"/>
    <w:rsid w:val="56D54068"/>
    <w:rsid w:val="570A5ABF"/>
    <w:rsid w:val="570D1A54"/>
    <w:rsid w:val="57340D8E"/>
    <w:rsid w:val="57566F57"/>
    <w:rsid w:val="57623B4D"/>
    <w:rsid w:val="57A2219C"/>
    <w:rsid w:val="57C2283E"/>
    <w:rsid w:val="57F85876"/>
    <w:rsid w:val="57FB365A"/>
    <w:rsid w:val="5827444F"/>
    <w:rsid w:val="582C5F09"/>
    <w:rsid w:val="58346B6C"/>
    <w:rsid w:val="583D0117"/>
    <w:rsid w:val="587D49B7"/>
    <w:rsid w:val="5889510A"/>
    <w:rsid w:val="58BF0B2C"/>
    <w:rsid w:val="58C93758"/>
    <w:rsid w:val="58E30CBE"/>
    <w:rsid w:val="59103135"/>
    <w:rsid w:val="592B4413"/>
    <w:rsid w:val="592E180D"/>
    <w:rsid w:val="593037D7"/>
    <w:rsid w:val="593E4146"/>
    <w:rsid w:val="59995821"/>
    <w:rsid w:val="59C56616"/>
    <w:rsid w:val="59F667CF"/>
    <w:rsid w:val="5A0233C6"/>
    <w:rsid w:val="5A113609"/>
    <w:rsid w:val="5A20384C"/>
    <w:rsid w:val="5A47702B"/>
    <w:rsid w:val="5A845B89"/>
    <w:rsid w:val="5A8D7133"/>
    <w:rsid w:val="5A9F29C3"/>
    <w:rsid w:val="5AA1673B"/>
    <w:rsid w:val="5AA601F5"/>
    <w:rsid w:val="5AD563E4"/>
    <w:rsid w:val="5AD85ED5"/>
    <w:rsid w:val="5B157129"/>
    <w:rsid w:val="5B5E287E"/>
    <w:rsid w:val="5B6339F0"/>
    <w:rsid w:val="5B6F6839"/>
    <w:rsid w:val="5B70610D"/>
    <w:rsid w:val="5B871DD5"/>
    <w:rsid w:val="5B9B13DC"/>
    <w:rsid w:val="5BA83AF9"/>
    <w:rsid w:val="5BAB5397"/>
    <w:rsid w:val="5BBC75A4"/>
    <w:rsid w:val="5BC052E6"/>
    <w:rsid w:val="5BD60666"/>
    <w:rsid w:val="5BE57F51"/>
    <w:rsid w:val="5BEC1C38"/>
    <w:rsid w:val="5C164F06"/>
    <w:rsid w:val="5C180C7F"/>
    <w:rsid w:val="5C5872CD"/>
    <w:rsid w:val="5C91458D"/>
    <w:rsid w:val="5C9C18B0"/>
    <w:rsid w:val="5CB85FBE"/>
    <w:rsid w:val="5CBF559E"/>
    <w:rsid w:val="5CD01559"/>
    <w:rsid w:val="5CD54DC2"/>
    <w:rsid w:val="5CD56B70"/>
    <w:rsid w:val="5D0D455B"/>
    <w:rsid w:val="5D1A4582"/>
    <w:rsid w:val="5D1D4073"/>
    <w:rsid w:val="5D215911"/>
    <w:rsid w:val="5D342624"/>
    <w:rsid w:val="5D59154F"/>
    <w:rsid w:val="5D656145"/>
    <w:rsid w:val="5D7874FB"/>
    <w:rsid w:val="5D8365CC"/>
    <w:rsid w:val="5D8660BC"/>
    <w:rsid w:val="5DB1138B"/>
    <w:rsid w:val="5DB42C29"/>
    <w:rsid w:val="5DC21165"/>
    <w:rsid w:val="5DD60DF1"/>
    <w:rsid w:val="5DDE3802"/>
    <w:rsid w:val="5DEA21A7"/>
    <w:rsid w:val="5DFE20F6"/>
    <w:rsid w:val="5E2A6A47"/>
    <w:rsid w:val="5E4044BD"/>
    <w:rsid w:val="5E483371"/>
    <w:rsid w:val="5E4C4C10"/>
    <w:rsid w:val="5E5C4A4F"/>
    <w:rsid w:val="5E6A1949"/>
    <w:rsid w:val="5E7F3237"/>
    <w:rsid w:val="5E873E9A"/>
    <w:rsid w:val="5E912F6A"/>
    <w:rsid w:val="5EAC3900"/>
    <w:rsid w:val="5EAE7678"/>
    <w:rsid w:val="5EB153BA"/>
    <w:rsid w:val="5EBD5B0D"/>
    <w:rsid w:val="5EC155FD"/>
    <w:rsid w:val="5EFA0B0F"/>
    <w:rsid w:val="5EFC4888"/>
    <w:rsid w:val="5F013C4C"/>
    <w:rsid w:val="5F7A57AC"/>
    <w:rsid w:val="5F8328B3"/>
    <w:rsid w:val="5F990328"/>
    <w:rsid w:val="5FBC4017"/>
    <w:rsid w:val="5FCD1D80"/>
    <w:rsid w:val="5FD255E8"/>
    <w:rsid w:val="5FD27396"/>
    <w:rsid w:val="5FD924D3"/>
    <w:rsid w:val="5FE01AB3"/>
    <w:rsid w:val="5FEA46E0"/>
    <w:rsid w:val="5FF53085"/>
    <w:rsid w:val="5FFB68ED"/>
    <w:rsid w:val="60003F04"/>
    <w:rsid w:val="60433DF0"/>
    <w:rsid w:val="60457B68"/>
    <w:rsid w:val="604A1623"/>
    <w:rsid w:val="6051475F"/>
    <w:rsid w:val="605204D7"/>
    <w:rsid w:val="60634492"/>
    <w:rsid w:val="606F1089"/>
    <w:rsid w:val="60716BAF"/>
    <w:rsid w:val="607448F1"/>
    <w:rsid w:val="608508AD"/>
    <w:rsid w:val="60870181"/>
    <w:rsid w:val="608763D3"/>
    <w:rsid w:val="60C03693"/>
    <w:rsid w:val="60D84E80"/>
    <w:rsid w:val="60DF1D6B"/>
    <w:rsid w:val="60F11A9E"/>
    <w:rsid w:val="60F8107F"/>
    <w:rsid w:val="610572F8"/>
    <w:rsid w:val="611A0FF5"/>
    <w:rsid w:val="61202383"/>
    <w:rsid w:val="615A7643"/>
    <w:rsid w:val="615E2F40"/>
    <w:rsid w:val="616D381B"/>
    <w:rsid w:val="61761FA3"/>
    <w:rsid w:val="61840B64"/>
    <w:rsid w:val="618943CD"/>
    <w:rsid w:val="619C5EAE"/>
    <w:rsid w:val="619F774C"/>
    <w:rsid w:val="61B01959"/>
    <w:rsid w:val="61C251E9"/>
    <w:rsid w:val="61D94A0C"/>
    <w:rsid w:val="61E6537B"/>
    <w:rsid w:val="61EE5FDE"/>
    <w:rsid w:val="61EF4230"/>
    <w:rsid w:val="6200468F"/>
    <w:rsid w:val="620B6B90"/>
    <w:rsid w:val="62353C0D"/>
    <w:rsid w:val="624577DF"/>
    <w:rsid w:val="627110E9"/>
    <w:rsid w:val="62725FBE"/>
    <w:rsid w:val="62740BD9"/>
    <w:rsid w:val="62744735"/>
    <w:rsid w:val="62775FD3"/>
    <w:rsid w:val="628801E0"/>
    <w:rsid w:val="62BD60DC"/>
    <w:rsid w:val="62CA6A4B"/>
    <w:rsid w:val="62CE653B"/>
    <w:rsid w:val="62D17DD9"/>
    <w:rsid w:val="62FB4E56"/>
    <w:rsid w:val="633914DA"/>
    <w:rsid w:val="63422A85"/>
    <w:rsid w:val="639A7632"/>
    <w:rsid w:val="63A66B70"/>
    <w:rsid w:val="63D336DD"/>
    <w:rsid w:val="63FD075A"/>
    <w:rsid w:val="642301C1"/>
    <w:rsid w:val="64234664"/>
    <w:rsid w:val="642D103F"/>
    <w:rsid w:val="64405216"/>
    <w:rsid w:val="6454481E"/>
    <w:rsid w:val="64552344"/>
    <w:rsid w:val="64590086"/>
    <w:rsid w:val="647E5D3F"/>
    <w:rsid w:val="64850E7B"/>
    <w:rsid w:val="6486074F"/>
    <w:rsid w:val="649448DB"/>
    <w:rsid w:val="64B21544"/>
    <w:rsid w:val="6530528B"/>
    <w:rsid w:val="65363F24"/>
    <w:rsid w:val="654523B9"/>
    <w:rsid w:val="654900FB"/>
    <w:rsid w:val="654E5711"/>
    <w:rsid w:val="65515201"/>
    <w:rsid w:val="65714E12"/>
    <w:rsid w:val="657B402C"/>
    <w:rsid w:val="65A417D5"/>
    <w:rsid w:val="65A75A3F"/>
    <w:rsid w:val="65CD0D2C"/>
    <w:rsid w:val="65D35C16"/>
    <w:rsid w:val="65D876EA"/>
    <w:rsid w:val="65FF07B9"/>
    <w:rsid w:val="6612673F"/>
    <w:rsid w:val="662E109F"/>
    <w:rsid w:val="663761A5"/>
    <w:rsid w:val="663A3EE7"/>
    <w:rsid w:val="66521231"/>
    <w:rsid w:val="666920D7"/>
    <w:rsid w:val="669B4986"/>
    <w:rsid w:val="66A355E9"/>
    <w:rsid w:val="66BA3945"/>
    <w:rsid w:val="66C832A1"/>
    <w:rsid w:val="66DE0D17"/>
    <w:rsid w:val="66EF082E"/>
    <w:rsid w:val="66F61BBC"/>
    <w:rsid w:val="670562A3"/>
    <w:rsid w:val="670818F0"/>
    <w:rsid w:val="670A38BA"/>
    <w:rsid w:val="671D183F"/>
    <w:rsid w:val="6732696D"/>
    <w:rsid w:val="675E59B4"/>
    <w:rsid w:val="676254A4"/>
    <w:rsid w:val="67786A75"/>
    <w:rsid w:val="677A0A3F"/>
    <w:rsid w:val="67C95523"/>
    <w:rsid w:val="67D619EE"/>
    <w:rsid w:val="67FA392E"/>
    <w:rsid w:val="68064081"/>
    <w:rsid w:val="685E5C6B"/>
    <w:rsid w:val="687436E1"/>
    <w:rsid w:val="68866F70"/>
    <w:rsid w:val="68B0184E"/>
    <w:rsid w:val="68C161FA"/>
    <w:rsid w:val="68D20407"/>
    <w:rsid w:val="68D26659"/>
    <w:rsid w:val="68E61D28"/>
    <w:rsid w:val="690802CD"/>
    <w:rsid w:val="690D7691"/>
    <w:rsid w:val="69140A20"/>
    <w:rsid w:val="69344C1E"/>
    <w:rsid w:val="69392234"/>
    <w:rsid w:val="695B21AB"/>
    <w:rsid w:val="695D4175"/>
    <w:rsid w:val="696F5C56"/>
    <w:rsid w:val="69752891"/>
    <w:rsid w:val="69780FAF"/>
    <w:rsid w:val="697E40EB"/>
    <w:rsid w:val="69823BDB"/>
    <w:rsid w:val="69A55B1C"/>
    <w:rsid w:val="69BD2E65"/>
    <w:rsid w:val="69E00902"/>
    <w:rsid w:val="69EB79D2"/>
    <w:rsid w:val="6A097E59"/>
    <w:rsid w:val="6A1C4030"/>
    <w:rsid w:val="6A445335"/>
    <w:rsid w:val="6A493FCB"/>
    <w:rsid w:val="6A4B221F"/>
    <w:rsid w:val="6A4D41E9"/>
    <w:rsid w:val="6A615EE7"/>
    <w:rsid w:val="6A731776"/>
    <w:rsid w:val="6A793230"/>
    <w:rsid w:val="6A7A6FA8"/>
    <w:rsid w:val="6A7F636D"/>
    <w:rsid w:val="6AB46016"/>
    <w:rsid w:val="6ABA55F7"/>
    <w:rsid w:val="6ABE0C43"/>
    <w:rsid w:val="6ACD532A"/>
    <w:rsid w:val="6AD16513"/>
    <w:rsid w:val="6B282560"/>
    <w:rsid w:val="6B2A277C"/>
    <w:rsid w:val="6B2F7D93"/>
    <w:rsid w:val="6B3929BF"/>
    <w:rsid w:val="6B3D425E"/>
    <w:rsid w:val="6B623CC4"/>
    <w:rsid w:val="6B785296"/>
    <w:rsid w:val="6B8C0D41"/>
    <w:rsid w:val="6BC95AF1"/>
    <w:rsid w:val="6BD149A6"/>
    <w:rsid w:val="6BE0466C"/>
    <w:rsid w:val="6C054650"/>
    <w:rsid w:val="6C225202"/>
    <w:rsid w:val="6C411B2C"/>
    <w:rsid w:val="6C4B29AA"/>
    <w:rsid w:val="6CA87DFD"/>
    <w:rsid w:val="6CBC11B2"/>
    <w:rsid w:val="6CC10EBE"/>
    <w:rsid w:val="6CDA788A"/>
    <w:rsid w:val="6CE150BD"/>
    <w:rsid w:val="6CF3094C"/>
    <w:rsid w:val="6CFA617E"/>
    <w:rsid w:val="6CFE17CB"/>
    <w:rsid w:val="6CFE5C6F"/>
    <w:rsid w:val="6D013069"/>
    <w:rsid w:val="6D0B213A"/>
    <w:rsid w:val="6D162FB8"/>
    <w:rsid w:val="6D323B6A"/>
    <w:rsid w:val="6D5835D1"/>
    <w:rsid w:val="6D593CEB"/>
    <w:rsid w:val="6D5E670D"/>
    <w:rsid w:val="6D65184A"/>
    <w:rsid w:val="6D761CA9"/>
    <w:rsid w:val="6DBE0F5A"/>
    <w:rsid w:val="6DC81DD9"/>
    <w:rsid w:val="6DDD3AD6"/>
    <w:rsid w:val="6DE309C1"/>
    <w:rsid w:val="6E3D1D31"/>
    <w:rsid w:val="6E565636"/>
    <w:rsid w:val="6E804461"/>
    <w:rsid w:val="6E8126B3"/>
    <w:rsid w:val="6E967D6B"/>
    <w:rsid w:val="6EBA7973"/>
    <w:rsid w:val="6EE13152"/>
    <w:rsid w:val="6EE844E0"/>
    <w:rsid w:val="6F0B6421"/>
    <w:rsid w:val="6F0D2199"/>
    <w:rsid w:val="6F327E52"/>
    <w:rsid w:val="6F3C03F4"/>
    <w:rsid w:val="6F4A519B"/>
    <w:rsid w:val="6F651FD5"/>
    <w:rsid w:val="6F871F4B"/>
    <w:rsid w:val="6F8B1310"/>
    <w:rsid w:val="6F8C7562"/>
    <w:rsid w:val="6FAA3E8C"/>
    <w:rsid w:val="6FBD596D"/>
    <w:rsid w:val="6FD26F3F"/>
    <w:rsid w:val="6FD809F9"/>
    <w:rsid w:val="6FE3114C"/>
    <w:rsid w:val="6FEC0000"/>
    <w:rsid w:val="700215D2"/>
    <w:rsid w:val="70074E3A"/>
    <w:rsid w:val="70274509"/>
    <w:rsid w:val="70384FF4"/>
    <w:rsid w:val="704240C4"/>
    <w:rsid w:val="70587444"/>
    <w:rsid w:val="706C2EEF"/>
    <w:rsid w:val="70757FF6"/>
    <w:rsid w:val="707D50FC"/>
    <w:rsid w:val="70926DFA"/>
    <w:rsid w:val="70A64653"/>
    <w:rsid w:val="70B52AE8"/>
    <w:rsid w:val="70D0347E"/>
    <w:rsid w:val="70D56CE6"/>
    <w:rsid w:val="710C022E"/>
    <w:rsid w:val="711361A6"/>
    <w:rsid w:val="711772FF"/>
    <w:rsid w:val="71297032"/>
    <w:rsid w:val="71327C95"/>
    <w:rsid w:val="71504D75"/>
    <w:rsid w:val="715F4802"/>
    <w:rsid w:val="716B31A7"/>
    <w:rsid w:val="71771B4C"/>
    <w:rsid w:val="718A7AD1"/>
    <w:rsid w:val="718D5813"/>
    <w:rsid w:val="71946BA2"/>
    <w:rsid w:val="719B7F30"/>
    <w:rsid w:val="71A52EE1"/>
    <w:rsid w:val="71AA3CCF"/>
    <w:rsid w:val="71B44B4E"/>
    <w:rsid w:val="71D7083C"/>
    <w:rsid w:val="71DC40A5"/>
    <w:rsid w:val="71DE7E1D"/>
    <w:rsid w:val="72007D93"/>
    <w:rsid w:val="721750DD"/>
    <w:rsid w:val="72247F25"/>
    <w:rsid w:val="72615794"/>
    <w:rsid w:val="7270316B"/>
    <w:rsid w:val="727D3192"/>
    <w:rsid w:val="727F515C"/>
    <w:rsid w:val="72A66B8C"/>
    <w:rsid w:val="72F5541E"/>
    <w:rsid w:val="73025D8D"/>
    <w:rsid w:val="73027B3B"/>
    <w:rsid w:val="73133AF6"/>
    <w:rsid w:val="733777E5"/>
    <w:rsid w:val="734819F2"/>
    <w:rsid w:val="735C549D"/>
    <w:rsid w:val="73683E42"/>
    <w:rsid w:val="73A17354"/>
    <w:rsid w:val="73AD3F4B"/>
    <w:rsid w:val="73AD5CF9"/>
    <w:rsid w:val="73D43285"/>
    <w:rsid w:val="73DC038C"/>
    <w:rsid w:val="73F76F74"/>
    <w:rsid w:val="740578E3"/>
    <w:rsid w:val="74123DAE"/>
    <w:rsid w:val="7419338E"/>
    <w:rsid w:val="741A69CF"/>
    <w:rsid w:val="74744A68"/>
    <w:rsid w:val="74940C67"/>
    <w:rsid w:val="74DD260E"/>
    <w:rsid w:val="74E90FB2"/>
    <w:rsid w:val="74EE65C9"/>
    <w:rsid w:val="74F34607"/>
    <w:rsid w:val="750000AA"/>
    <w:rsid w:val="75355FA6"/>
    <w:rsid w:val="753C7334"/>
    <w:rsid w:val="75466405"/>
    <w:rsid w:val="75526B58"/>
    <w:rsid w:val="75596138"/>
    <w:rsid w:val="758B1DB7"/>
    <w:rsid w:val="759E7FEF"/>
    <w:rsid w:val="75AF3FAA"/>
    <w:rsid w:val="75C630A2"/>
    <w:rsid w:val="75D457BF"/>
    <w:rsid w:val="75E11C8A"/>
    <w:rsid w:val="76053BCA"/>
    <w:rsid w:val="760F67F7"/>
    <w:rsid w:val="761A519B"/>
    <w:rsid w:val="762304F4"/>
    <w:rsid w:val="762A3631"/>
    <w:rsid w:val="762A7AD4"/>
    <w:rsid w:val="76307777"/>
    <w:rsid w:val="763A5CE7"/>
    <w:rsid w:val="765468FF"/>
    <w:rsid w:val="76593F16"/>
    <w:rsid w:val="765C57B4"/>
    <w:rsid w:val="766905FD"/>
    <w:rsid w:val="767B3E8C"/>
    <w:rsid w:val="76911902"/>
    <w:rsid w:val="769431A0"/>
    <w:rsid w:val="76B178AE"/>
    <w:rsid w:val="77000835"/>
    <w:rsid w:val="770420D4"/>
    <w:rsid w:val="770B3462"/>
    <w:rsid w:val="7715608F"/>
    <w:rsid w:val="772E7150"/>
    <w:rsid w:val="77387FCF"/>
    <w:rsid w:val="773D3837"/>
    <w:rsid w:val="77422BFC"/>
    <w:rsid w:val="774424D0"/>
    <w:rsid w:val="775F555C"/>
    <w:rsid w:val="777A05E8"/>
    <w:rsid w:val="77866F8C"/>
    <w:rsid w:val="779F004E"/>
    <w:rsid w:val="77A86F03"/>
    <w:rsid w:val="77B533CE"/>
    <w:rsid w:val="77BA4E88"/>
    <w:rsid w:val="77C47AB5"/>
    <w:rsid w:val="77D71596"/>
    <w:rsid w:val="77EA751B"/>
    <w:rsid w:val="77F42148"/>
    <w:rsid w:val="78063C29"/>
    <w:rsid w:val="78104AA8"/>
    <w:rsid w:val="78144598"/>
    <w:rsid w:val="78411105"/>
    <w:rsid w:val="78412EB3"/>
    <w:rsid w:val="78A7540C"/>
    <w:rsid w:val="78AF606F"/>
    <w:rsid w:val="78C55892"/>
    <w:rsid w:val="78CD4747"/>
    <w:rsid w:val="78EF46BD"/>
    <w:rsid w:val="793547C6"/>
    <w:rsid w:val="795A422D"/>
    <w:rsid w:val="795C61F7"/>
    <w:rsid w:val="796C5D0E"/>
    <w:rsid w:val="797F3C93"/>
    <w:rsid w:val="798B088A"/>
    <w:rsid w:val="799A0ACD"/>
    <w:rsid w:val="799D236B"/>
    <w:rsid w:val="79D044EF"/>
    <w:rsid w:val="79D264B9"/>
    <w:rsid w:val="79D57D57"/>
    <w:rsid w:val="79F71A7C"/>
    <w:rsid w:val="7A0A5C53"/>
    <w:rsid w:val="7A1E16FE"/>
    <w:rsid w:val="7A214D4A"/>
    <w:rsid w:val="7A287E87"/>
    <w:rsid w:val="7A326F58"/>
    <w:rsid w:val="7A601D17"/>
    <w:rsid w:val="7A85352B"/>
    <w:rsid w:val="7A8C48BA"/>
    <w:rsid w:val="7A9B4AFD"/>
    <w:rsid w:val="7AA240DD"/>
    <w:rsid w:val="7AD47110"/>
    <w:rsid w:val="7AE2097E"/>
    <w:rsid w:val="7AE973D5"/>
    <w:rsid w:val="7B187EFC"/>
    <w:rsid w:val="7B282769"/>
    <w:rsid w:val="7B340AAD"/>
    <w:rsid w:val="7B5573A2"/>
    <w:rsid w:val="7B5A49B8"/>
    <w:rsid w:val="7B8B2DC3"/>
    <w:rsid w:val="7B9157E7"/>
    <w:rsid w:val="7B9559F0"/>
    <w:rsid w:val="7B9F061D"/>
    <w:rsid w:val="7BA479E1"/>
    <w:rsid w:val="7BB045D8"/>
    <w:rsid w:val="7BB35E76"/>
    <w:rsid w:val="7BCB7664"/>
    <w:rsid w:val="7BF5648F"/>
    <w:rsid w:val="7C10151B"/>
    <w:rsid w:val="7C262AEC"/>
    <w:rsid w:val="7C296138"/>
    <w:rsid w:val="7C324FED"/>
    <w:rsid w:val="7C484810"/>
    <w:rsid w:val="7C4F2043"/>
    <w:rsid w:val="7C684375"/>
    <w:rsid w:val="7C692B58"/>
    <w:rsid w:val="7C923CDE"/>
    <w:rsid w:val="7CB023B6"/>
    <w:rsid w:val="7CB71996"/>
    <w:rsid w:val="7CBC51FE"/>
    <w:rsid w:val="7CCA16C9"/>
    <w:rsid w:val="7CD6006E"/>
    <w:rsid w:val="7CDE6F23"/>
    <w:rsid w:val="7CE04A49"/>
    <w:rsid w:val="7CFE5817"/>
    <w:rsid w:val="7D021077"/>
    <w:rsid w:val="7D2E7EAA"/>
    <w:rsid w:val="7D3606B6"/>
    <w:rsid w:val="7D40373A"/>
    <w:rsid w:val="7D697134"/>
    <w:rsid w:val="7D6C2781"/>
    <w:rsid w:val="7D770EED"/>
    <w:rsid w:val="7D913F95"/>
    <w:rsid w:val="7DAF266D"/>
    <w:rsid w:val="7DB06B11"/>
    <w:rsid w:val="7DB51DF5"/>
    <w:rsid w:val="7DB55ED6"/>
    <w:rsid w:val="7DD32800"/>
    <w:rsid w:val="7DD65E4C"/>
    <w:rsid w:val="7DE44A0D"/>
    <w:rsid w:val="7E0B1F99"/>
    <w:rsid w:val="7E1626EC"/>
    <w:rsid w:val="7E301A00"/>
    <w:rsid w:val="7E325778"/>
    <w:rsid w:val="7E5E47BF"/>
    <w:rsid w:val="7E6B0C8A"/>
    <w:rsid w:val="7E7C69F3"/>
    <w:rsid w:val="7E97382D"/>
    <w:rsid w:val="7EC9775F"/>
    <w:rsid w:val="7ED44A81"/>
    <w:rsid w:val="7ED95BF4"/>
    <w:rsid w:val="7EE34CC4"/>
    <w:rsid w:val="7EE822DB"/>
    <w:rsid w:val="7EF7251E"/>
    <w:rsid w:val="7EF96296"/>
    <w:rsid w:val="7F052E8D"/>
    <w:rsid w:val="7F1B7FBA"/>
    <w:rsid w:val="7F315A30"/>
    <w:rsid w:val="7F323556"/>
    <w:rsid w:val="7F345520"/>
    <w:rsid w:val="7F475253"/>
    <w:rsid w:val="7F645E05"/>
    <w:rsid w:val="7F6556D9"/>
    <w:rsid w:val="7F6A7194"/>
    <w:rsid w:val="7F6C6A68"/>
    <w:rsid w:val="7F6F47AA"/>
    <w:rsid w:val="7F791185"/>
    <w:rsid w:val="7F89761A"/>
    <w:rsid w:val="7F9B559F"/>
    <w:rsid w:val="7FBF128D"/>
    <w:rsid w:val="7FD14B1D"/>
    <w:rsid w:val="7FDA60C7"/>
    <w:rsid w:val="7FF627D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iPriority="99" w:name="footnote text"/>
    <w:lsdException w:qFormat="1"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qFormat="1" w:uiPriority="99"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qFormat="1" w:uiPriority="99"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iPriority="9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sz w:val="21"/>
      <w:szCs w:val="22"/>
    </w:rPr>
  </w:style>
  <w:style w:type="paragraph" w:styleId="2">
    <w:name w:val="heading 1"/>
    <w:basedOn w:val="1"/>
    <w:next w:val="1"/>
    <w:qFormat/>
    <w:uiPriority w:val="0"/>
    <w:pPr>
      <w:pageBreakBefore/>
      <w:spacing w:before="380" w:after="140" w:line="288" w:lineRule="auto"/>
      <w:ind w:left="0"/>
      <w:jc w:val="left"/>
      <w:outlineLvl w:val="0"/>
    </w:pPr>
    <w:rPr>
      <w:rFonts w:ascii="Arial" w:hAnsi="Arial" w:eastAsia="等线" w:cs="Arial"/>
      <w:b/>
      <w:bCs/>
      <w:sz w:val="36"/>
      <w:szCs w:val="36"/>
    </w:rPr>
  </w:style>
  <w:style w:type="paragraph" w:styleId="3">
    <w:name w:val="heading 2"/>
    <w:next w:val="1"/>
    <w:qFormat/>
    <w:uiPriority w:val="0"/>
    <w:pPr>
      <w:spacing w:before="320" w:after="120" w:line="288" w:lineRule="auto"/>
      <w:ind w:left="0"/>
      <w:jc w:val="left"/>
      <w:outlineLvl w:val="1"/>
    </w:pPr>
    <w:rPr>
      <w:rFonts w:ascii="Arial" w:hAnsi="Arial" w:eastAsia="等线" w:cs="Arial"/>
      <w:b/>
      <w:bCs/>
      <w:sz w:val="32"/>
      <w:szCs w:val="32"/>
    </w:rPr>
  </w:style>
  <w:style w:type="paragraph" w:styleId="4">
    <w:name w:val="heading 3"/>
    <w:next w:val="1"/>
    <w:qFormat/>
    <w:uiPriority w:val="0"/>
    <w:pPr>
      <w:spacing w:before="300" w:after="120" w:line="288" w:lineRule="auto"/>
      <w:ind w:left="0"/>
      <w:jc w:val="left"/>
      <w:outlineLvl w:val="2"/>
    </w:pPr>
    <w:rPr>
      <w:rFonts w:ascii="Arial" w:hAnsi="Arial" w:eastAsia="等线" w:cs="Arial"/>
      <w:b/>
      <w:bCs/>
      <w:sz w:val="30"/>
      <w:szCs w:val="30"/>
    </w:rPr>
  </w:style>
  <w:style w:type="paragraph" w:styleId="5">
    <w:name w:val="heading 4"/>
    <w:next w:val="1"/>
    <w:qFormat/>
    <w:uiPriority w:val="0"/>
    <w:pPr>
      <w:spacing w:before="260" w:after="120" w:line="288" w:lineRule="auto"/>
      <w:ind w:left="0"/>
      <w:jc w:val="left"/>
      <w:outlineLvl w:val="3"/>
    </w:pPr>
    <w:rPr>
      <w:rFonts w:ascii="Arial" w:hAnsi="Arial" w:eastAsia="等线" w:cs="Arial"/>
      <w:b/>
      <w:bCs/>
      <w:sz w:val="28"/>
      <w:szCs w:val="28"/>
    </w:rPr>
  </w:style>
  <w:style w:type="paragraph" w:styleId="6">
    <w:name w:val="heading 5"/>
    <w:next w:val="1"/>
    <w:qFormat/>
    <w:uiPriority w:val="0"/>
    <w:pPr>
      <w:spacing w:before="240" w:after="120" w:line="288" w:lineRule="auto"/>
      <w:ind w:left="0"/>
      <w:jc w:val="left"/>
      <w:outlineLvl w:val="4"/>
    </w:pPr>
    <w:rPr>
      <w:rFonts w:ascii="Arial" w:hAnsi="Arial" w:eastAsia="等线" w:cs="Arial"/>
      <w:b/>
      <w:bCs/>
      <w:sz w:val="24"/>
      <w:szCs w:val="24"/>
    </w:rPr>
  </w:style>
  <w:style w:type="paragraph" w:styleId="7">
    <w:name w:val="heading 6"/>
    <w:next w:val="1"/>
    <w:qFormat/>
    <w:uiPriority w:val="0"/>
    <w:pPr>
      <w:spacing w:before="240" w:after="120" w:line="288" w:lineRule="auto"/>
      <w:ind w:left="0"/>
      <w:jc w:val="left"/>
      <w:outlineLvl w:val="5"/>
    </w:pPr>
    <w:rPr>
      <w:rFonts w:ascii="Arial" w:hAnsi="Arial" w:eastAsia="等线" w:cs="Arial"/>
      <w:b/>
      <w:bCs/>
      <w:sz w:val="24"/>
      <w:szCs w:val="24"/>
    </w:rPr>
  </w:style>
  <w:style w:type="character" w:default="1" w:styleId="23">
    <w:name w:val="Default Paragraph Font"/>
    <w:semiHidden/>
    <w:qFormat/>
    <w:uiPriority w:val="0"/>
  </w:style>
  <w:style w:type="table" w:default="1" w:styleId="21">
    <w:name w:val="Normal Table"/>
    <w:semiHidden/>
    <w:qFormat/>
    <w:uiPriority w:val="0"/>
    <w:tblPr>
      <w:tblCellMar>
        <w:top w:w="0" w:type="dxa"/>
        <w:left w:w="108" w:type="dxa"/>
        <w:bottom w:w="0" w:type="dxa"/>
        <w:right w:w="108" w:type="dxa"/>
      </w:tblCellMar>
    </w:tblPr>
  </w:style>
  <w:style w:type="paragraph" w:styleId="8">
    <w:name w:val="annotation text"/>
    <w:basedOn w:val="1"/>
    <w:qFormat/>
    <w:uiPriority w:val="0"/>
    <w:pPr>
      <w:jc w:val="left"/>
    </w:pPr>
  </w:style>
  <w:style w:type="paragraph" w:styleId="9">
    <w:name w:val="Body Text"/>
    <w:basedOn w:val="1"/>
    <w:next w:val="1"/>
    <w:qFormat/>
    <w:uiPriority w:val="0"/>
    <w:rPr>
      <w:rFonts w:ascii="Calibri" w:hAnsi="Calibri"/>
    </w:rPr>
  </w:style>
  <w:style w:type="paragraph" w:styleId="10">
    <w:name w:val="Body Text Indent"/>
    <w:basedOn w:val="1"/>
    <w:qFormat/>
    <w:uiPriority w:val="0"/>
    <w:pPr>
      <w:spacing w:line="550" w:lineRule="exact"/>
      <w:ind w:firstLine="600"/>
    </w:pPr>
    <w:rPr>
      <w:rFonts w:eastAsia="仿宋_GB2312"/>
      <w:sz w:val="30"/>
    </w:rPr>
  </w:style>
  <w:style w:type="paragraph" w:styleId="11">
    <w:name w:val="toc 3"/>
    <w:basedOn w:val="1"/>
    <w:next w:val="1"/>
    <w:qFormat/>
    <w:uiPriority w:val="0"/>
    <w:pPr>
      <w:ind w:left="840" w:leftChars="400"/>
    </w:pPr>
  </w:style>
  <w:style w:type="paragraph" w:styleId="12">
    <w:name w:val="footer"/>
    <w:basedOn w:val="1"/>
    <w:unhideWhenUsed/>
    <w:qFormat/>
    <w:uiPriority w:val="99"/>
    <w:pPr>
      <w:tabs>
        <w:tab w:val="center" w:pos="4153"/>
        <w:tab w:val="right" w:pos="8306"/>
      </w:tabs>
      <w:snapToGrid w:val="0"/>
      <w:spacing w:line="240" w:lineRule="atLeast"/>
      <w:jc w:val="left"/>
    </w:pPr>
    <w:rPr>
      <w:sz w:val="18"/>
      <w:szCs w:val="18"/>
    </w:rPr>
  </w:style>
  <w:style w:type="paragraph" w:styleId="13">
    <w:name w:val="header"/>
    <w:basedOn w:val="1"/>
    <w:unhideWhenUsed/>
    <w:qFormat/>
    <w:uiPriority w:val="99"/>
    <w:pPr>
      <w:pBdr>
        <w:bottom w:val="single" w:color="auto" w:sz="6" w:space="1"/>
      </w:pBdr>
      <w:tabs>
        <w:tab w:val="center" w:pos="4153"/>
        <w:tab w:val="right" w:pos="8306"/>
      </w:tabs>
      <w:snapToGrid w:val="0"/>
      <w:spacing w:line="240" w:lineRule="atLeast"/>
      <w:jc w:val="center"/>
    </w:pPr>
    <w:rPr>
      <w:sz w:val="18"/>
      <w:szCs w:val="18"/>
    </w:rPr>
  </w:style>
  <w:style w:type="paragraph" w:styleId="14">
    <w:name w:val="toc 1"/>
    <w:basedOn w:val="1"/>
    <w:next w:val="1"/>
    <w:qFormat/>
    <w:uiPriority w:val="0"/>
  </w:style>
  <w:style w:type="paragraph" w:styleId="15">
    <w:name w:val="footnote text"/>
    <w:link w:val="29"/>
    <w:semiHidden/>
    <w:unhideWhenUsed/>
    <w:qFormat/>
    <w:uiPriority w:val="99"/>
    <w:pPr>
      <w:spacing w:after="0" w:line="240" w:lineRule="auto"/>
    </w:pPr>
    <w:rPr>
      <w:rFonts w:asciiTheme="minorHAnsi" w:hAnsiTheme="minorHAnsi" w:eastAsiaTheme="minorEastAsia" w:cstheme="minorBidi"/>
      <w:sz w:val="20"/>
      <w:szCs w:val="20"/>
    </w:rPr>
  </w:style>
  <w:style w:type="paragraph" w:styleId="16">
    <w:name w:val="toc 2"/>
    <w:basedOn w:val="1"/>
    <w:next w:val="1"/>
    <w:qFormat/>
    <w:uiPriority w:val="0"/>
    <w:pPr>
      <w:ind w:left="420" w:leftChars="200"/>
    </w:pPr>
  </w:style>
  <w:style w:type="paragraph" w:styleId="17">
    <w:name w:val="Body Text 2"/>
    <w:basedOn w:val="1"/>
    <w:next w:val="18"/>
    <w:unhideWhenUsed/>
    <w:qFormat/>
    <w:uiPriority w:val="99"/>
    <w:pPr>
      <w:spacing w:after="120" w:line="480" w:lineRule="auto"/>
    </w:pPr>
  </w:style>
  <w:style w:type="paragraph" w:styleId="18">
    <w:name w:val="Body Text First Indent 2"/>
    <w:basedOn w:val="10"/>
    <w:qFormat/>
    <w:uiPriority w:val="0"/>
    <w:pPr>
      <w:widowControl w:val="0"/>
      <w:autoSpaceDE w:val="0"/>
      <w:adjustRightInd w:val="0"/>
      <w:snapToGrid w:val="0"/>
      <w:spacing w:line="550" w:lineRule="exact"/>
      <w:ind w:firstLine="420" w:firstLineChars="200"/>
      <w:jc w:val="both"/>
    </w:pPr>
    <w:rPr>
      <w:rFonts w:ascii="Calibri" w:hAnsi="Calibri" w:eastAsia="宋体" w:cs="Times New Roman"/>
      <w:color w:val="auto"/>
      <w:kern w:val="2"/>
      <w:sz w:val="30"/>
      <w:szCs w:val="22"/>
      <w:lang w:val="en-US" w:eastAsia="zh-CN" w:bidi="ar-SA"/>
    </w:rPr>
  </w:style>
  <w:style w:type="paragraph" w:styleId="19">
    <w:name w:val="Title"/>
    <w:qFormat/>
    <w:uiPriority w:val="0"/>
    <w:pPr>
      <w:spacing w:before="480" w:after="480" w:line="288" w:lineRule="auto"/>
      <w:ind w:left="0"/>
    </w:pPr>
    <w:rPr>
      <w:rFonts w:ascii="Arial" w:hAnsi="Arial" w:eastAsia="等线" w:cs="Arial"/>
      <w:b/>
      <w:bCs/>
      <w:sz w:val="52"/>
      <w:szCs w:val="52"/>
    </w:rPr>
  </w:style>
  <w:style w:type="paragraph" w:styleId="20">
    <w:name w:val="Body Text First Indent"/>
    <w:basedOn w:val="9"/>
    <w:next w:val="17"/>
    <w:qFormat/>
    <w:uiPriority w:val="0"/>
    <w:pPr>
      <w:ind w:firstLine="420" w:firstLineChars="100"/>
    </w:pPr>
  </w:style>
  <w:style w:type="table" w:styleId="22">
    <w:name w:val="Table Grid"/>
    <w:basedOn w:val="21"/>
    <w:unhideWhenUsed/>
    <w:qFormat/>
    <w:uiPriority w:val="99"/>
    <w:rPr>
      <w:rFonts w:ascii="Calibri" w:hAnsi="Calibri" w:eastAsia="Times New Roman" w:cs="Times New Roman"/>
      <w:szCs w:val="21"/>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4">
    <w:name w:val="Strong"/>
    <w:basedOn w:val="23"/>
    <w:qFormat/>
    <w:uiPriority w:val="0"/>
    <w:rPr>
      <w:b/>
    </w:rPr>
  </w:style>
  <w:style w:type="character" w:styleId="25">
    <w:name w:val="Hyperlink"/>
    <w:unhideWhenUsed/>
    <w:qFormat/>
    <w:uiPriority w:val="99"/>
    <w:rPr>
      <w:color w:val="0563C1"/>
      <w:u w:val="single"/>
    </w:rPr>
  </w:style>
  <w:style w:type="character" w:styleId="26">
    <w:name w:val="footnote reference"/>
    <w:semiHidden/>
    <w:unhideWhenUsed/>
    <w:qFormat/>
    <w:uiPriority w:val="99"/>
    <w:rPr>
      <w:vertAlign w:val="superscript"/>
    </w:rPr>
  </w:style>
  <w:style w:type="paragraph" w:customStyle="1" w:styleId="27">
    <w:name w:val="Body Text First Indent1"/>
    <w:basedOn w:val="9"/>
    <w:next w:val="1"/>
    <w:qFormat/>
    <w:uiPriority w:val="0"/>
    <w:pPr>
      <w:spacing w:before="100" w:beforeAutospacing="1"/>
      <w:ind w:firstLine="420" w:firstLineChars="100"/>
    </w:pPr>
    <w:rPr>
      <w:rFonts w:hint="default" w:ascii="Calibri" w:hAnsi="Calibri" w:eastAsia="宋体" w:cs="Times New Roman"/>
      <w:kern w:val="2"/>
      <w:sz w:val="21"/>
      <w:lang w:val="en-US" w:eastAsia="zh-CN"/>
    </w:rPr>
  </w:style>
  <w:style w:type="paragraph" w:styleId="28">
    <w:name w:val="List Paragraph"/>
    <w:qFormat/>
    <w:uiPriority w:val="0"/>
    <w:rPr>
      <w:rFonts w:asciiTheme="minorHAnsi" w:hAnsiTheme="minorHAnsi" w:eastAsiaTheme="minorEastAsia" w:cstheme="minorBidi"/>
      <w:sz w:val="21"/>
      <w:szCs w:val="22"/>
    </w:rPr>
  </w:style>
  <w:style w:type="character" w:customStyle="1" w:styleId="29">
    <w:name w:val="Footnote Text Char"/>
    <w:link w:val="15"/>
    <w:semiHidden/>
    <w:unhideWhenUsed/>
    <w:qFormat/>
    <w:uiPriority w:val="99"/>
    <w:rPr>
      <w:sz w:val="20"/>
      <w:szCs w:val="20"/>
    </w:rPr>
  </w:style>
  <w:style w:type="paragraph" w:customStyle="1" w:styleId="30">
    <w:name w:val="_Style 13"/>
    <w:qFormat/>
    <w:uiPriority w:val="0"/>
    <w:pPr>
      <w:spacing w:before="120" w:after="120" w:line="288" w:lineRule="auto"/>
      <w:ind w:left="0"/>
      <w:jc w:val="left"/>
    </w:pPr>
    <w:rPr>
      <w:rFonts w:ascii="Arial" w:hAnsi="Arial" w:eastAsia="等线" w:cs="Arial"/>
      <w:sz w:val="22"/>
      <w:szCs w:val="22"/>
    </w:rPr>
  </w:style>
  <w:style w:type="paragraph" w:customStyle="1" w:styleId="31">
    <w:name w:val="_Style 14"/>
    <w:qFormat/>
    <w:uiPriority w:val="0"/>
    <w:pPr>
      <w:spacing w:before="120" w:after="120" w:line="288" w:lineRule="auto"/>
      <w:ind w:left="0"/>
      <w:jc w:val="left"/>
    </w:pPr>
    <w:rPr>
      <w:rFonts w:ascii="Arial" w:hAnsi="Arial" w:eastAsia="等线" w:cs="Arial"/>
      <w:color w:val="8F959E"/>
      <w:sz w:val="22"/>
      <w:szCs w:val="22"/>
    </w:rPr>
  </w:style>
  <w:style w:type="character" w:customStyle="1" w:styleId="32">
    <w:name w:val="font11"/>
    <w:basedOn w:val="23"/>
    <w:qFormat/>
    <w:uiPriority w:val="0"/>
    <w:rPr>
      <w:rFonts w:hint="eastAsia" w:ascii="宋体" w:hAnsi="宋体" w:eastAsia="宋体" w:cs="宋体"/>
      <w:b/>
      <w:bCs/>
      <w:color w:val="000000"/>
      <w:sz w:val="24"/>
      <w:szCs w:val="24"/>
      <w:u w:val="none"/>
    </w:rPr>
  </w:style>
  <w:style w:type="character" w:customStyle="1" w:styleId="33">
    <w:name w:val="font51"/>
    <w:basedOn w:val="23"/>
    <w:qFormat/>
    <w:uiPriority w:val="0"/>
    <w:rPr>
      <w:rFonts w:hint="default" w:ascii="Times New Roman" w:hAnsi="Times New Roman" w:cs="Times New Roman"/>
      <w:b/>
      <w:bCs/>
      <w:color w:val="000000"/>
      <w:sz w:val="24"/>
      <w:szCs w:val="24"/>
      <w:u w:val="none"/>
    </w:rPr>
  </w:style>
  <w:style w:type="character" w:customStyle="1" w:styleId="34">
    <w:name w:val="font31"/>
    <w:basedOn w:val="23"/>
    <w:qFormat/>
    <w:uiPriority w:val="0"/>
    <w:rPr>
      <w:rFonts w:hint="default" w:ascii="Times New Roman" w:hAnsi="Times New Roman" w:cs="Times New Roman"/>
      <w:color w:val="000000"/>
      <w:sz w:val="21"/>
      <w:szCs w:val="21"/>
      <w:u w:val="none"/>
    </w:rPr>
  </w:style>
  <w:style w:type="character" w:customStyle="1" w:styleId="35">
    <w:name w:val="font21"/>
    <w:basedOn w:val="23"/>
    <w:qFormat/>
    <w:uiPriority w:val="0"/>
    <w:rPr>
      <w:rFonts w:hint="eastAsia" w:ascii="宋体" w:hAnsi="宋体" w:eastAsia="宋体" w:cs="宋体"/>
      <w:color w:val="000000"/>
      <w:sz w:val="21"/>
      <w:szCs w:val="21"/>
      <w:u w:val="none"/>
    </w:rPr>
  </w:style>
  <w:style w:type="paragraph" w:customStyle="1" w:styleId="36">
    <w:name w:val="p0"/>
    <w:basedOn w:val="1"/>
    <w:qFormat/>
    <w:uiPriority w:val="0"/>
    <w:pPr>
      <w:widowControl/>
    </w:pPr>
    <w:rPr>
      <w:rFonts w:ascii="Calibri" w:hAnsi="Calibri" w:eastAsia="宋体" w:cs="宋体"/>
      <w:kern w:val="0"/>
      <w:sz w:val="21"/>
      <w:szCs w:val="21"/>
    </w:rPr>
  </w:style>
  <w:style w:type="character" w:customStyle="1" w:styleId="37">
    <w:name w:val="NormalCharacter"/>
    <w:link w:val="38"/>
    <w:qFormat/>
    <w:uiPriority w:val="0"/>
    <w:rPr>
      <w:rFonts w:eastAsia="宋体"/>
      <w:kern w:val="2"/>
      <w:sz w:val="24"/>
      <w:szCs w:val="32"/>
      <w:lang w:val="en-US" w:eastAsia="zh-CN" w:bidi="ar-SA"/>
    </w:rPr>
  </w:style>
  <w:style w:type="paragraph" w:customStyle="1" w:styleId="38">
    <w:name w:val="UserStyle_2"/>
    <w:basedOn w:val="1"/>
    <w:link w:val="37"/>
    <w:qFormat/>
    <w:uiPriority w:val="0"/>
    <w:pPr>
      <w:widowControl/>
      <w:spacing w:line="360" w:lineRule="auto"/>
      <w:jc w:val="both"/>
      <w:textAlignment w:val="baseline"/>
    </w:pPr>
    <w:rPr>
      <w:rFonts w:eastAsia="宋体"/>
      <w:kern w:val="2"/>
      <w:sz w:val="24"/>
      <w:szCs w:val="32"/>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142</Pages>
  <Words>13486</Words>
  <Characters>14268</Characters>
  <TotalTime>72</TotalTime>
  <ScaleCrop>false</ScaleCrop>
  <LinksUpToDate>false</LinksUpToDate>
  <CharactersWithSpaces>14688</CharactersWithSpaces>
  <Application>WPS Office_12.1.0.25865_F1E327BC-269C-435d-A152-05C5408002CA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2025-09-08T09:12:00Z</dcterms:created>
  <dc:creator>Un-named</dc:creator>
  <cp:lastModifiedBy>事事如意</cp:lastModifiedBy>
  <dcterms:modified xsi:type="dcterms:W3CDTF">2026-04-27T08:28:59Z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550738AF40E14FA0B9E107B726D6BAEB_13</vt:lpwstr>
  </property>
  <property fmtid="{D5CDD505-2E9C-101B-9397-08002B2CF9AE}" pid="4" name="KSOTemplateDocerSaveRecord">
    <vt:lpwstr>eyJoZGlkIjoiNzU1MzljNGRhYWU4NTA5NDE2YjM5YzA5NzIzMGIxMmYiLCJ1c2VySWQiOiI1MjQzNjAzMjgifQ==</vt:lpwstr>
  </property>
</Properties>
</file>